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FDC6" w14:textId="78C311F4" w:rsidR="00BF2FD3" w:rsidRPr="00B12C2C" w:rsidRDefault="00E00F92" w:rsidP="00BF2FD3">
      <w:pPr>
        <w:ind w:left="1701" w:hanging="1701"/>
        <w:rPr>
          <w:rFonts w:ascii="Arial" w:hAnsi="Arial" w:cs="Arial"/>
          <w:b/>
          <w:sz w:val="20"/>
          <w:szCs w:val="20"/>
        </w:rPr>
      </w:pPr>
      <w:r w:rsidRPr="00B12C2C">
        <w:rPr>
          <w:rFonts w:ascii="Arial" w:eastAsia="Times New Roman" w:hAnsi="Arial" w:cs="Arial"/>
          <w:b/>
          <w:sz w:val="20"/>
          <w:szCs w:val="20"/>
        </w:rPr>
        <w:t>REPORT TO:</w:t>
      </w:r>
      <w:r w:rsidRPr="00B12C2C">
        <w:rPr>
          <w:rFonts w:ascii="Arial" w:eastAsia="Times New Roman" w:hAnsi="Arial" w:cs="Arial"/>
          <w:b/>
          <w:sz w:val="20"/>
          <w:szCs w:val="20"/>
        </w:rPr>
        <w:tab/>
      </w:r>
      <w:r w:rsidR="00F13913" w:rsidRPr="00B12C2C">
        <w:rPr>
          <w:rFonts w:ascii="Arial" w:eastAsia="Times New Roman" w:hAnsi="Arial" w:cs="Arial"/>
          <w:b/>
          <w:bCs/>
          <w:sz w:val="20"/>
          <w:szCs w:val="20"/>
        </w:rPr>
        <w:t xml:space="preserve">PENSION SUB-COMMITTEE OF THE CITY GOVERNANCE COMMITTEE &amp; PENSION BOARD – </w:t>
      </w:r>
      <w:r w:rsidR="004A27B1" w:rsidRPr="00B12C2C">
        <w:rPr>
          <w:rFonts w:ascii="Arial" w:eastAsia="Times New Roman" w:hAnsi="Arial" w:cs="Arial"/>
          <w:b/>
          <w:bCs/>
          <w:sz w:val="20"/>
          <w:szCs w:val="20"/>
        </w:rPr>
        <w:t>22 SEPTEMBER</w:t>
      </w:r>
      <w:r w:rsidR="00F13913" w:rsidRPr="00B12C2C">
        <w:rPr>
          <w:rFonts w:ascii="Arial" w:eastAsia="Times New Roman" w:hAnsi="Arial" w:cs="Arial"/>
          <w:b/>
          <w:bCs/>
          <w:sz w:val="20"/>
          <w:szCs w:val="20"/>
        </w:rPr>
        <w:t xml:space="preserve"> 202</w:t>
      </w:r>
      <w:r w:rsidR="00C16DA6" w:rsidRPr="00B12C2C">
        <w:rPr>
          <w:rFonts w:ascii="Arial" w:eastAsia="Times New Roman" w:hAnsi="Arial" w:cs="Arial"/>
          <w:b/>
          <w:bCs/>
          <w:sz w:val="20"/>
          <w:szCs w:val="20"/>
        </w:rPr>
        <w:t>5</w:t>
      </w:r>
    </w:p>
    <w:p w14:paraId="4D96530B" w14:textId="53CAF0EC" w:rsidR="00E00F92" w:rsidRPr="00B12C2C" w:rsidRDefault="00E00F92" w:rsidP="00BF2FD3">
      <w:pPr>
        <w:ind w:left="1701" w:hanging="1701"/>
        <w:rPr>
          <w:rFonts w:ascii="Arial" w:eastAsia="Times New Roman" w:hAnsi="Arial" w:cs="Arial"/>
          <w:b/>
          <w:bCs/>
          <w:sz w:val="20"/>
          <w:szCs w:val="20"/>
        </w:rPr>
      </w:pPr>
      <w:r w:rsidRPr="00B12C2C">
        <w:rPr>
          <w:rFonts w:ascii="Arial" w:eastAsia="Times New Roman" w:hAnsi="Arial" w:cs="Arial"/>
          <w:b/>
          <w:sz w:val="20"/>
          <w:szCs w:val="20"/>
        </w:rPr>
        <w:t>REPORT ON:</w:t>
      </w:r>
      <w:r w:rsidR="00BF2FD3" w:rsidRPr="00B12C2C">
        <w:rPr>
          <w:rFonts w:ascii="Arial" w:eastAsia="Times New Roman" w:hAnsi="Arial" w:cs="Arial"/>
          <w:b/>
          <w:sz w:val="20"/>
          <w:szCs w:val="20"/>
        </w:rPr>
        <w:tab/>
      </w:r>
      <w:r w:rsidR="00491EC6" w:rsidRPr="00B12C2C">
        <w:rPr>
          <w:rFonts w:ascii="Arial" w:eastAsia="Times New Roman" w:hAnsi="Arial" w:cs="Arial"/>
          <w:b/>
          <w:sz w:val="20"/>
          <w:szCs w:val="20"/>
        </w:rPr>
        <w:t xml:space="preserve">TAYSIDE PENSION FUND </w:t>
      </w:r>
      <w:r w:rsidRPr="00B12C2C">
        <w:rPr>
          <w:rFonts w:ascii="Arial" w:eastAsia="Times New Roman" w:hAnsi="Arial" w:cs="Arial"/>
          <w:b/>
          <w:sz w:val="20"/>
          <w:szCs w:val="20"/>
        </w:rPr>
        <w:t>RISK REGISTER</w:t>
      </w:r>
    </w:p>
    <w:p w14:paraId="1AFCBD17" w14:textId="77777777" w:rsidR="00E00F92" w:rsidRPr="00B12C2C" w:rsidRDefault="00E00F92" w:rsidP="00BF2FD3">
      <w:pPr>
        <w:ind w:left="1701" w:hanging="1701"/>
        <w:rPr>
          <w:rFonts w:ascii="Arial" w:eastAsia="Times New Roman" w:hAnsi="Arial" w:cs="Arial"/>
          <w:b/>
          <w:bCs/>
          <w:sz w:val="20"/>
          <w:szCs w:val="20"/>
        </w:rPr>
      </w:pPr>
      <w:r w:rsidRPr="00B12C2C">
        <w:rPr>
          <w:rFonts w:ascii="Arial" w:eastAsia="Times New Roman" w:hAnsi="Arial" w:cs="Arial"/>
          <w:b/>
          <w:bCs/>
          <w:sz w:val="20"/>
          <w:szCs w:val="20"/>
        </w:rPr>
        <w:t>REPORT BY:</w:t>
      </w:r>
      <w:r w:rsidRPr="00B12C2C">
        <w:rPr>
          <w:rFonts w:ascii="Arial" w:eastAsia="Times New Roman" w:hAnsi="Arial" w:cs="Arial"/>
          <w:b/>
          <w:bCs/>
          <w:sz w:val="20"/>
          <w:szCs w:val="20"/>
        </w:rPr>
        <w:tab/>
        <w:t>EXECUTIVE DIRECTOR OF CORPORATE SERVICES</w:t>
      </w:r>
    </w:p>
    <w:p w14:paraId="6CEEEB00" w14:textId="717D094E" w:rsidR="00E00F92" w:rsidRPr="00B12C2C" w:rsidRDefault="00E00F92" w:rsidP="00BF2FD3">
      <w:pPr>
        <w:ind w:left="1701" w:hanging="1701"/>
        <w:rPr>
          <w:rFonts w:ascii="Arial" w:eastAsia="Times New Roman" w:hAnsi="Arial" w:cs="Arial"/>
          <w:b/>
          <w:sz w:val="20"/>
          <w:szCs w:val="20"/>
        </w:rPr>
      </w:pPr>
      <w:r w:rsidRPr="00B12C2C">
        <w:rPr>
          <w:rFonts w:ascii="Arial" w:eastAsia="Times New Roman" w:hAnsi="Arial" w:cs="Arial"/>
          <w:b/>
          <w:sz w:val="20"/>
          <w:szCs w:val="20"/>
        </w:rPr>
        <w:t>REPORT NO:</w:t>
      </w:r>
      <w:r w:rsidRPr="00B12C2C">
        <w:rPr>
          <w:rFonts w:ascii="Arial" w:eastAsia="Times New Roman" w:hAnsi="Arial" w:cs="Arial"/>
          <w:b/>
          <w:sz w:val="20"/>
          <w:szCs w:val="20"/>
        </w:rPr>
        <w:tab/>
      </w:r>
      <w:r w:rsidR="00806702" w:rsidRPr="00B12C2C">
        <w:rPr>
          <w:rFonts w:ascii="Arial" w:eastAsia="Times New Roman" w:hAnsi="Arial" w:cs="Arial"/>
          <w:b/>
          <w:sz w:val="20"/>
          <w:szCs w:val="20"/>
        </w:rPr>
        <w:t>253</w:t>
      </w:r>
      <w:r w:rsidR="00F60229" w:rsidRPr="00B12C2C">
        <w:rPr>
          <w:rFonts w:ascii="Arial" w:eastAsia="Times New Roman" w:hAnsi="Arial" w:cs="Arial"/>
          <w:b/>
          <w:sz w:val="20"/>
          <w:szCs w:val="20"/>
        </w:rPr>
        <w:t>-202</w:t>
      </w:r>
      <w:r w:rsidR="00C16DA6" w:rsidRPr="00B12C2C">
        <w:rPr>
          <w:rFonts w:ascii="Arial" w:eastAsia="Times New Roman" w:hAnsi="Arial" w:cs="Arial"/>
          <w:b/>
          <w:sz w:val="20"/>
          <w:szCs w:val="20"/>
        </w:rPr>
        <w:t>5</w:t>
      </w:r>
    </w:p>
    <w:p w14:paraId="24BA626D" w14:textId="77777777" w:rsidR="00E00F92" w:rsidRPr="00B12C2C" w:rsidRDefault="00E00F92" w:rsidP="00E00F9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12C2C">
        <w:rPr>
          <w:rFonts w:ascii="Arial" w:eastAsia="Times New Roman" w:hAnsi="Arial" w:cs="Arial"/>
          <w:b/>
          <w:sz w:val="20"/>
          <w:szCs w:val="20"/>
        </w:rPr>
        <w:t>PURPOSE OF REPORT</w:t>
      </w:r>
    </w:p>
    <w:p w14:paraId="1D5EBA27" w14:textId="77777777" w:rsidR="00E00F92" w:rsidRPr="00B12C2C" w:rsidRDefault="00E00F92" w:rsidP="00E00F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A445EE6" w14:textId="364452CF" w:rsidR="00374E59" w:rsidRPr="00B12C2C" w:rsidRDefault="00A60172" w:rsidP="00A0526F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>The Sub-Committee is asked to approve the Quarterly Risk Register for Tayside Pension Fund</w:t>
      </w:r>
      <w:r w:rsidR="00887233" w:rsidRPr="00B12C2C">
        <w:rPr>
          <w:rFonts w:ascii="Arial" w:eastAsia="Times New Roman" w:hAnsi="Arial" w:cs="Arial"/>
          <w:sz w:val="20"/>
          <w:szCs w:val="20"/>
        </w:rPr>
        <w:t xml:space="preserve">.  </w:t>
      </w:r>
    </w:p>
    <w:p w14:paraId="4FC7F3C9" w14:textId="7E48F32C" w:rsidR="009E3F88" w:rsidRPr="00B12C2C" w:rsidRDefault="009E3F88" w:rsidP="2AD17A5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1CE6C16D" w14:textId="77777777" w:rsidR="00E00F92" w:rsidRPr="00B12C2C" w:rsidRDefault="00E00F92" w:rsidP="00E00F9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12C2C">
        <w:rPr>
          <w:rFonts w:ascii="Arial" w:eastAsia="Times New Roman" w:hAnsi="Arial" w:cs="Arial"/>
          <w:b/>
          <w:sz w:val="20"/>
          <w:szCs w:val="20"/>
        </w:rPr>
        <w:t>RECOMMENDATIONS</w:t>
      </w:r>
    </w:p>
    <w:p w14:paraId="5B9733DC" w14:textId="77777777" w:rsidR="00E00F92" w:rsidRPr="00B12C2C" w:rsidRDefault="00E00F92" w:rsidP="00E00F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8724220" w14:textId="608D8EEB" w:rsidR="003710CC" w:rsidRPr="00B12C2C" w:rsidRDefault="00E00F92" w:rsidP="002751C1">
      <w:pPr>
        <w:spacing w:after="0" w:line="240" w:lineRule="auto"/>
        <w:ind w:left="770" w:hanging="770"/>
        <w:jc w:val="both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ab/>
        <w:t xml:space="preserve">The Sub-Committee </w:t>
      </w:r>
      <w:r w:rsidR="00A647FC" w:rsidRPr="00B12C2C">
        <w:rPr>
          <w:rFonts w:ascii="Arial" w:eastAsia="Times New Roman" w:hAnsi="Arial" w:cs="Arial"/>
          <w:sz w:val="20"/>
          <w:szCs w:val="20"/>
        </w:rPr>
        <w:t>is</w:t>
      </w:r>
      <w:r w:rsidRPr="00B12C2C">
        <w:rPr>
          <w:rFonts w:ascii="Arial" w:eastAsia="Times New Roman" w:hAnsi="Arial" w:cs="Arial"/>
          <w:sz w:val="20"/>
          <w:szCs w:val="20"/>
        </w:rPr>
        <w:t xml:space="preserve"> asked to approve the Quarterly Risk Re</w:t>
      </w:r>
      <w:r w:rsidR="00763507" w:rsidRPr="00B12C2C">
        <w:rPr>
          <w:rFonts w:ascii="Arial" w:eastAsia="Times New Roman" w:hAnsi="Arial" w:cs="Arial"/>
          <w:sz w:val="20"/>
          <w:szCs w:val="20"/>
        </w:rPr>
        <w:t>gister for Tayside Pension Fun</w:t>
      </w:r>
      <w:r w:rsidR="00DE45A9" w:rsidRPr="00B12C2C">
        <w:rPr>
          <w:rFonts w:ascii="Arial" w:eastAsia="Times New Roman" w:hAnsi="Arial" w:cs="Arial"/>
          <w:sz w:val="20"/>
          <w:szCs w:val="20"/>
        </w:rPr>
        <w:t>d</w:t>
      </w:r>
      <w:r w:rsidR="00994BCC" w:rsidRPr="00B12C2C">
        <w:rPr>
          <w:rFonts w:ascii="Arial" w:eastAsia="Times New Roman" w:hAnsi="Arial" w:cs="Arial"/>
          <w:sz w:val="20"/>
          <w:szCs w:val="20"/>
        </w:rPr>
        <w:t>, noting no change from previous quarterly report</w:t>
      </w:r>
      <w:r w:rsidR="001D7D99" w:rsidRPr="00B12C2C">
        <w:rPr>
          <w:rFonts w:ascii="Arial" w:eastAsia="Times New Roman" w:hAnsi="Arial" w:cs="Arial"/>
          <w:sz w:val="20"/>
          <w:szCs w:val="20"/>
        </w:rPr>
        <w:t>.</w:t>
      </w:r>
      <w:r w:rsidR="00A0526F" w:rsidRPr="00B12C2C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18761746" w14:textId="05679C05" w:rsidR="008E737F" w:rsidRPr="00B12C2C" w:rsidRDefault="008E737F" w:rsidP="00DE45A9">
      <w:pPr>
        <w:spacing w:after="0" w:line="240" w:lineRule="auto"/>
        <w:ind w:left="770" w:hanging="770"/>
        <w:jc w:val="both"/>
        <w:rPr>
          <w:rFonts w:ascii="Arial" w:eastAsia="Times New Roman" w:hAnsi="Arial" w:cs="Arial"/>
          <w:sz w:val="20"/>
          <w:szCs w:val="20"/>
        </w:rPr>
      </w:pPr>
    </w:p>
    <w:p w14:paraId="34C4AD7C" w14:textId="5428B869" w:rsidR="00E00F92" w:rsidRPr="00B12C2C" w:rsidRDefault="00E00F92" w:rsidP="00E00F9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12C2C">
        <w:rPr>
          <w:rFonts w:ascii="Arial" w:eastAsia="Times New Roman" w:hAnsi="Arial" w:cs="Arial"/>
          <w:b/>
          <w:sz w:val="20"/>
          <w:szCs w:val="20"/>
        </w:rPr>
        <w:t>FINANCIAL IMPLIC</w:t>
      </w:r>
      <w:r w:rsidR="00FE2A8E" w:rsidRPr="00B12C2C">
        <w:rPr>
          <w:rFonts w:ascii="Arial" w:eastAsia="Times New Roman" w:hAnsi="Arial" w:cs="Arial"/>
          <w:b/>
          <w:sz w:val="20"/>
          <w:szCs w:val="20"/>
        </w:rPr>
        <w:t>A</w:t>
      </w:r>
      <w:r w:rsidRPr="00B12C2C">
        <w:rPr>
          <w:rFonts w:ascii="Arial" w:eastAsia="Times New Roman" w:hAnsi="Arial" w:cs="Arial"/>
          <w:b/>
          <w:sz w:val="20"/>
          <w:szCs w:val="20"/>
        </w:rPr>
        <w:t>TIONS</w:t>
      </w:r>
    </w:p>
    <w:p w14:paraId="7840306E" w14:textId="77777777" w:rsidR="00E00F92" w:rsidRPr="00B12C2C" w:rsidRDefault="00E00F92" w:rsidP="00E00F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18EE99D" w14:textId="69F051A7" w:rsidR="00E00F92" w:rsidRPr="00B12C2C" w:rsidRDefault="00E00F92" w:rsidP="00E00F92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ab/>
        <w:t>There are no financial implications</w:t>
      </w:r>
      <w:r w:rsidR="00A70343" w:rsidRPr="00B12C2C">
        <w:rPr>
          <w:rFonts w:ascii="Arial" w:eastAsia="Times New Roman" w:hAnsi="Arial" w:cs="Arial"/>
          <w:sz w:val="20"/>
          <w:szCs w:val="20"/>
        </w:rPr>
        <w:t xml:space="preserve"> other than those highlighted in the risk register</w:t>
      </w:r>
      <w:r w:rsidRPr="00B12C2C">
        <w:rPr>
          <w:rFonts w:ascii="Arial" w:eastAsia="Times New Roman" w:hAnsi="Arial" w:cs="Arial"/>
          <w:sz w:val="20"/>
          <w:szCs w:val="20"/>
        </w:rPr>
        <w:t>.</w:t>
      </w:r>
    </w:p>
    <w:p w14:paraId="72A51D66" w14:textId="77777777" w:rsidR="00E00F92" w:rsidRPr="00B12C2C" w:rsidRDefault="00E00F92" w:rsidP="00E00F92">
      <w:pPr>
        <w:spacing w:after="0" w:line="240" w:lineRule="auto"/>
        <w:ind w:left="1440"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4365CB70" w14:textId="77777777" w:rsidR="00E00F92" w:rsidRPr="00B12C2C" w:rsidRDefault="00E00F92" w:rsidP="00E00F9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12C2C">
        <w:rPr>
          <w:rFonts w:ascii="Arial" w:eastAsia="Times New Roman" w:hAnsi="Arial" w:cs="Arial"/>
          <w:b/>
          <w:sz w:val="20"/>
          <w:szCs w:val="20"/>
        </w:rPr>
        <w:t>INTRODUCTION</w:t>
      </w:r>
    </w:p>
    <w:p w14:paraId="333A6B6B" w14:textId="77777777" w:rsidR="00E00F92" w:rsidRPr="00B12C2C" w:rsidRDefault="00E00F92" w:rsidP="00E00F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37B8A4" w14:textId="77777777" w:rsidR="00E00F92" w:rsidRPr="00B12C2C" w:rsidRDefault="00E00F92" w:rsidP="00E00F9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>The Local Government Pension Scheme Management and Investment of Funds (Scotland) Regulations 2010 requires funds to state the extent to which they comply with guidance given by the Scottish Ministers.</w:t>
      </w:r>
    </w:p>
    <w:p w14:paraId="6BB3646F" w14:textId="77777777" w:rsidR="00E00F92" w:rsidRPr="00B12C2C" w:rsidRDefault="00E00F92" w:rsidP="00E00F9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5C20F600" w14:textId="77777777" w:rsidR="00E00F92" w:rsidRPr="00B12C2C" w:rsidRDefault="00E00F92" w:rsidP="00E00F9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>The Scottish Ministers guidance refers to the six revised principles on investment decision making contained within CIPFA publication "Investment Decision Making and Disclosure in the Local Government Pension Scheme: A Guide to the Application of the Myners Principles" (December 2009).</w:t>
      </w:r>
    </w:p>
    <w:p w14:paraId="141A2199" w14:textId="77777777" w:rsidR="001F528E" w:rsidRPr="00B12C2C" w:rsidRDefault="001F528E" w:rsidP="00E00F9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778A4B9E" w14:textId="0A227046" w:rsidR="00E00F92" w:rsidRPr="00B12C2C" w:rsidRDefault="00E00F92" w:rsidP="00E00F9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 xml:space="preserve">Principle 3: Risk and Liabilities (paragraph 98) states that "The annual report of a pension fund should include an overall risk assessment in relation to each of the </w:t>
      </w:r>
      <w:r w:rsidR="001F528E" w:rsidRPr="00B12C2C">
        <w:rPr>
          <w:rFonts w:ascii="Arial" w:eastAsia="Times New Roman" w:hAnsi="Arial" w:cs="Arial"/>
          <w:sz w:val="20"/>
          <w:szCs w:val="20"/>
        </w:rPr>
        <w:t>fund’s</w:t>
      </w:r>
      <w:r w:rsidRPr="00B12C2C">
        <w:rPr>
          <w:rFonts w:ascii="Arial" w:eastAsia="Times New Roman" w:hAnsi="Arial" w:cs="Arial"/>
          <w:sz w:val="20"/>
          <w:szCs w:val="20"/>
        </w:rPr>
        <w:t xml:space="preserve"> activities and factors expected to have an impact on the financial and reputational health of each fund.  This could be done by summarising the contents of a regularly updated risk register.  An analysis of the risks should be reported periodically to the committee, together with necessary actions to mitigate risk and assessment of residual risk".</w:t>
      </w:r>
    </w:p>
    <w:p w14:paraId="0F83E2A3" w14:textId="77777777" w:rsidR="00E00F92" w:rsidRPr="00B12C2C" w:rsidRDefault="00E00F92" w:rsidP="00E00F9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27F70AF5" w14:textId="77777777" w:rsidR="009A1B7F" w:rsidRPr="00B12C2C" w:rsidRDefault="00E00F92" w:rsidP="00E00F9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 xml:space="preserve">The initial Tayside Superannuation Funds Risk Register (Article III of the Minute of Meeting of the Superannuation Sub-Committee of the Policy and Resources Committee of 21 February 2011, Report No 114-2011 refers) requires conformity with the Statements of Investment Principles for the Tayside Pension Fund.  </w:t>
      </w:r>
    </w:p>
    <w:p w14:paraId="0FBC6798" w14:textId="77777777" w:rsidR="009A1B7F" w:rsidRPr="00B12C2C" w:rsidRDefault="009A1B7F" w:rsidP="00E00F9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37AC6A07" w14:textId="63C10DDB" w:rsidR="002A5DA9" w:rsidRPr="00B12C2C" w:rsidRDefault="002A5DA9" w:rsidP="002A5DA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 xml:space="preserve">In 2021, an internal audit review of Risk Management and Regulatory Compliance was </w:t>
      </w:r>
      <w:r w:rsidR="006136F1" w:rsidRPr="00B12C2C">
        <w:rPr>
          <w:rFonts w:ascii="Arial" w:eastAsia="Times New Roman" w:hAnsi="Arial" w:cs="Arial"/>
          <w:sz w:val="20"/>
          <w:szCs w:val="20"/>
        </w:rPr>
        <w:t>completed,</w:t>
      </w:r>
      <w:r w:rsidR="009C4E0D" w:rsidRPr="00B12C2C">
        <w:rPr>
          <w:rFonts w:ascii="Arial" w:eastAsia="Times New Roman" w:hAnsi="Arial" w:cs="Arial"/>
          <w:sz w:val="20"/>
          <w:szCs w:val="20"/>
        </w:rPr>
        <w:t xml:space="preserve"> </w:t>
      </w:r>
      <w:r w:rsidRPr="00B12C2C">
        <w:rPr>
          <w:rFonts w:ascii="Arial" w:eastAsia="Times New Roman" w:hAnsi="Arial" w:cs="Arial"/>
          <w:sz w:val="20"/>
          <w:szCs w:val="20"/>
        </w:rPr>
        <w:t>and the findings were reported to the Pension Sub-</w:t>
      </w:r>
      <w:r w:rsidR="00D11466" w:rsidRPr="00B12C2C">
        <w:rPr>
          <w:rFonts w:ascii="Arial" w:eastAsia="Times New Roman" w:hAnsi="Arial" w:cs="Arial"/>
          <w:sz w:val="20"/>
          <w:szCs w:val="20"/>
        </w:rPr>
        <w:t>C</w:t>
      </w:r>
      <w:r w:rsidRPr="00B12C2C">
        <w:rPr>
          <w:rFonts w:ascii="Arial" w:eastAsia="Times New Roman" w:hAnsi="Arial" w:cs="Arial"/>
          <w:sz w:val="20"/>
          <w:szCs w:val="20"/>
        </w:rPr>
        <w:t xml:space="preserve">ommittee &amp; Board (Article IX of the Minute of Meeting of the Pension Sub-Committee of the Policy and Resources Committee &amp; Pension Board of 21 March 2022, Report No 87-2022 refers).  The review suggested </w:t>
      </w:r>
      <w:r w:rsidR="009C4E0D" w:rsidRPr="00B12C2C">
        <w:rPr>
          <w:rFonts w:ascii="Arial" w:eastAsia="Times New Roman" w:hAnsi="Arial" w:cs="Arial"/>
          <w:sz w:val="20"/>
          <w:szCs w:val="20"/>
        </w:rPr>
        <w:t xml:space="preserve">the following </w:t>
      </w:r>
      <w:r w:rsidRPr="00B12C2C">
        <w:rPr>
          <w:rFonts w:ascii="Arial" w:eastAsia="Times New Roman" w:hAnsi="Arial" w:cs="Arial"/>
          <w:sz w:val="20"/>
          <w:szCs w:val="20"/>
        </w:rPr>
        <w:t>changes</w:t>
      </w:r>
      <w:r w:rsidR="009C4E0D" w:rsidRPr="00B12C2C">
        <w:rPr>
          <w:rFonts w:ascii="Arial" w:eastAsia="Times New Roman" w:hAnsi="Arial" w:cs="Arial"/>
          <w:sz w:val="20"/>
          <w:szCs w:val="20"/>
        </w:rPr>
        <w:t xml:space="preserve"> be made to the risk register:</w:t>
      </w:r>
    </w:p>
    <w:p w14:paraId="21EADC57" w14:textId="77777777" w:rsidR="00AB428F" w:rsidRPr="00B12C2C" w:rsidRDefault="00AB428F" w:rsidP="002A5DA9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5DF5B3B3" w14:textId="77777777" w:rsidR="00331D85" w:rsidRPr="00B12C2C" w:rsidRDefault="00331D85" w:rsidP="008D0054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>U</w:t>
      </w:r>
      <w:r w:rsidR="002A5DA9" w:rsidRPr="00B12C2C">
        <w:rPr>
          <w:rFonts w:ascii="Arial" w:eastAsia="Times New Roman" w:hAnsi="Arial" w:cs="Arial"/>
          <w:sz w:val="20"/>
          <w:szCs w:val="20"/>
        </w:rPr>
        <w:t xml:space="preserve">pdate </w:t>
      </w:r>
      <w:r w:rsidRPr="00B12C2C">
        <w:rPr>
          <w:rFonts w:ascii="Arial" w:eastAsia="Times New Roman" w:hAnsi="Arial" w:cs="Arial"/>
          <w:sz w:val="20"/>
          <w:szCs w:val="20"/>
        </w:rPr>
        <w:t>of</w:t>
      </w:r>
      <w:r w:rsidR="002A5DA9" w:rsidRPr="00B12C2C">
        <w:rPr>
          <w:rFonts w:ascii="Arial" w:eastAsia="Times New Roman" w:hAnsi="Arial" w:cs="Arial"/>
          <w:sz w:val="20"/>
          <w:szCs w:val="20"/>
        </w:rPr>
        <w:t xml:space="preserve"> current risk descriptions to use cause, event an</w:t>
      </w:r>
      <w:r w:rsidRPr="00B12C2C">
        <w:rPr>
          <w:rFonts w:ascii="Arial" w:eastAsia="Times New Roman" w:hAnsi="Arial" w:cs="Arial"/>
          <w:sz w:val="20"/>
          <w:szCs w:val="20"/>
        </w:rPr>
        <w:t xml:space="preserve">d </w:t>
      </w:r>
      <w:r w:rsidR="002A5DA9" w:rsidRPr="00B12C2C">
        <w:rPr>
          <w:rFonts w:ascii="Arial" w:eastAsia="Times New Roman" w:hAnsi="Arial" w:cs="Arial"/>
          <w:sz w:val="20"/>
          <w:szCs w:val="20"/>
        </w:rPr>
        <w:t xml:space="preserve">consequence format </w:t>
      </w:r>
    </w:p>
    <w:p w14:paraId="0E7F5684" w14:textId="5249E1D8" w:rsidR="00331D85" w:rsidRPr="00B12C2C" w:rsidRDefault="00331D85" w:rsidP="008D0054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>Addition of risks not specified within current risk register</w:t>
      </w:r>
    </w:p>
    <w:p w14:paraId="7769F681" w14:textId="1ADBF023" w:rsidR="00992D93" w:rsidRPr="00B12C2C" w:rsidRDefault="00992D93" w:rsidP="008D0054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>Implementation of a revised risk scoring matrix specific to Tayside Pension Fund</w:t>
      </w:r>
    </w:p>
    <w:p w14:paraId="3CB60F9A" w14:textId="1E67AAF9" w:rsidR="00992D93" w:rsidRPr="00B12C2C" w:rsidRDefault="00992D93" w:rsidP="00992D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A16D2D3" w14:textId="58389578" w:rsidR="00992D93" w:rsidRPr="00B12C2C" w:rsidRDefault="00992D93" w:rsidP="00992D93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>All risks and controls have been reviewed and rescored accordingly.</w:t>
      </w:r>
    </w:p>
    <w:p w14:paraId="58A70B7B" w14:textId="2E49C98C" w:rsidR="00331D85" w:rsidRPr="00B12C2C" w:rsidRDefault="00992D93" w:rsidP="00331D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12C2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56E536D" w14:textId="5F4C3EAA" w:rsidR="00E00F92" w:rsidRPr="00B12C2C" w:rsidRDefault="00331D85" w:rsidP="00E00F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12C2C">
        <w:rPr>
          <w:rFonts w:ascii="Arial" w:eastAsia="Times New Roman" w:hAnsi="Arial" w:cs="Arial"/>
          <w:b/>
          <w:sz w:val="20"/>
          <w:szCs w:val="20"/>
        </w:rPr>
        <w:t>P</w:t>
      </w:r>
      <w:r w:rsidR="00E00F92" w:rsidRPr="00B12C2C">
        <w:rPr>
          <w:rFonts w:ascii="Arial" w:eastAsia="Times New Roman" w:hAnsi="Arial" w:cs="Arial"/>
          <w:b/>
          <w:sz w:val="20"/>
          <w:szCs w:val="20"/>
        </w:rPr>
        <w:t>OLICY IMPLICATIONS</w:t>
      </w:r>
    </w:p>
    <w:p w14:paraId="44832AC1" w14:textId="77777777" w:rsidR="00E00F92" w:rsidRPr="00B12C2C" w:rsidRDefault="00E00F92" w:rsidP="00E00F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A9F7D68" w14:textId="4649BEE9" w:rsidR="00553978" w:rsidRPr="00B12C2C" w:rsidRDefault="00E7500F" w:rsidP="00BB65B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128572070"/>
      <w:r w:rsidRPr="00B12C2C">
        <w:rPr>
          <w:rFonts w:ascii="Arial" w:eastAsia="Times New Roman" w:hAnsi="Arial" w:cs="Arial"/>
          <w:sz w:val="20"/>
          <w:szCs w:val="20"/>
        </w:rPr>
        <w:t xml:space="preserve">This report has been subject to the Pre-IIA Screening Tool and does not make any recommendations for change to strategy, policy, procedures, services or funding and so has </w:t>
      </w:r>
      <w:r w:rsidRPr="00B12C2C">
        <w:rPr>
          <w:rFonts w:ascii="Arial" w:eastAsia="Times New Roman" w:hAnsi="Arial" w:cs="Arial"/>
          <w:sz w:val="20"/>
          <w:szCs w:val="20"/>
        </w:rPr>
        <w:lastRenderedPageBreak/>
        <w:t>not been subject to an Integrated Impact Assessment. An appropriate senior manager has reviewed and agreed with this assessment.</w:t>
      </w:r>
    </w:p>
    <w:bookmarkEnd w:id="0"/>
    <w:p w14:paraId="448EA624" w14:textId="77777777" w:rsidR="00E7500F" w:rsidRPr="00B12C2C" w:rsidRDefault="00E7500F" w:rsidP="00BB65B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22F8F48F" w14:textId="42B80D16" w:rsidR="00E00F92" w:rsidRPr="00B12C2C" w:rsidRDefault="00E00F92" w:rsidP="00E00F9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12C2C">
        <w:rPr>
          <w:rFonts w:ascii="Arial" w:eastAsia="Times New Roman" w:hAnsi="Arial" w:cs="Arial"/>
          <w:b/>
          <w:sz w:val="20"/>
          <w:szCs w:val="20"/>
        </w:rPr>
        <w:t>CONSULTATIONS</w:t>
      </w:r>
    </w:p>
    <w:p w14:paraId="29DAD252" w14:textId="77777777" w:rsidR="006F475B" w:rsidRPr="00B12C2C" w:rsidRDefault="006F475B" w:rsidP="006F47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A37B004" w14:textId="039B8338" w:rsidR="00E00F92" w:rsidRPr="00B12C2C" w:rsidRDefault="00E00F92" w:rsidP="00764E41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>The Chief Executive and Head of Democratic and Legal Services have been consulted in the preparation of this report.</w:t>
      </w:r>
    </w:p>
    <w:p w14:paraId="0005B139" w14:textId="756C7BD2" w:rsidR="00764E41" w:rsidRPr="00B12C2C" w:rsidRDefault="00764E41" w:rsidP="00764E41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44F1B52A" w14:textId="77777777" w:rsidR="00E00F92" w:rsidRPr="00B12C2C" w:rsidRDefault="00E00F92" w:rsidP="00E00F9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12C2C">
        <w:rPr>
          <w:rFonts w:ascii="Arial" w:eastAsia="Times New Roman" w:hAnsi="Arial" w:cs="Arial"/>
          <w:b/>
          <w:bCs/>
          <w:sz w:val="20"/>
          <w:szCs w:val="20"/>
        </w:rPr>
        <w:t>BACKGROUND PAPERS</w:t>
      </w:r>
    </w:p>
    <w:p w14:paraId="07BFD29F" w14:textId="77777777" w:rsidR="00E00F92" w:rsidRPr="00B12C2C" w:rsidRDefault="00E00F92" w:rsidP="00E00F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4FFC060" w14:textId="46DB9EFA" w:rsidR="00E00F92" w:rsidRPr="00B12C2C" w:rsidRDefault="00E00F92" w:rsidP="00E00F9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>None</w:t>
      </w:r>
      <w:r w:rsidR="00F46DDD" w:rsidRPr="00B12C2C">
        <w:rPr>
          <w:rFonts w:ascii="Arial" w:eastAsia="Times New Roman" w:hAnsi="Arial" w:cs="Arial"/>
          <w:sz w:val="20"/>
          <w:szCs w:val="20"/>
        </w:rPr>
        <w:t>.</w:t>
      </w:r>
    </w:p>
    <w:p w14:paraId="42841FEE" w14:textId="77777777" w:rsidR="00E00F92" w:rsidRPr="00B12C2C" w:rsidRDefault="00B51148" w:rsidP="00763507">
      <w:pPr>
        <w:tabs>
          <w:tab w:val="left" w:pos="1560"/>
        </w:tabs>
        <w:spacing w:after="0" w:line="240" w:lineRule="auto"/>
        <w:ind w:left="770" w:hanging="770"/>
        <w:jc w:val="both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sz w:val="20"/>
          <w:szCs w:val="20"/>
        </w:rPr>
        <w:tab/>
      </w:r>
      <w:r w:rsidRPr="00B12C2C">
        <w:rPr>
          <w:rFonts w:ascii="Arial" w:eastAsia="Times New Roman" w:hAnsi="Arial" w:cs="Arial"/>
          <w:sz w:val="20"/>
          <w:szCs w:val="20"/>
        </w:rPr>
        <w:tab/>
      </w:r>
    </w:p>
    <w:p w14:paraId="61C9CD5E" w14:textId="77777777" w:rsidR="00E00F92" w:rsidRPr="00B12C2C" w:rsidRDefault="00E00F92" w:rsidP="00E00F92">
      <w:pPr>
        <w:spacing w:after="0" w:line="240" w:lineRule="auto"/>
        <w:ind w:left="1200" w:hanging="600"/>
        <w:jc w:val="both"/>
        <w:rPr>
          <w:rFonts w:ascii="Arial" w:eastAsia="Times New Roman" w:hAnsi="Arial" w:cs="Arial"/>
          <w:sz w:val="20"/>
          <w:szCs w:val="20"/>
        </w:rPr>
      </w:pPr>
    </w:p>
    <w:p w14:paraId="15D87C2C" w14:textId="5FFEBE73" w:rsidR="00E00F92" w:rsidRPr="00B12C2C" w:rsidRDefault="00AB20B3" w:rsidP="00E00F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12C2C">
        <w:rPr>
          <w:rFonts w:ascii="Arial" w:eastAsia="Times New Roman" w:hAnsi="Arial" w:cs="Arial"/>
          <w:b/>
          <w:sz w:val="20"/>
          <w:szCs w:val="20"/>
        </w:rPr>
        <w:t>PAUL THOMSON</w:t>
      </w:r>
    </w:p>
    <w:p w14:paraId="06442474" w14:textId="4E569B14" w:rsidR="0004614E" w:rsidRPr="00B12C2C" w:rsidRDefault="00E00F92" w:rsidP="0025790A">
      <w:pPr>
        <w:tabs>
          <w:tab w:val="left" w:pos="506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2C2C">
        <w:rPr>
          <w:rFonts w:ascii="Arial" w:eastAsia="Times New Roman" w:hAnsi="Arial" w:cs="Arial"/>
          <w:b/>
          <w:sz w:val="20"/>
          <w:szCs w:val="20"/>
        </w:rPr>
        <w:t xml:space="preserve">EXECUTIVE DIRECTOR OF CORPORATE SERVICES </w:t>
      </w:r>
      <w:r w:rsidRPr="00B12C2C">
        <w:rPr>
          <w:rFonts w:ascii="Arial" w:eastAsia="Times New Roman" w:hAnsi="Arial" w:cs="Arial"/>
          <w:b/>
          <w:sz w:val="20"/>
          <w:szCs w:val="20"/>
        </w:rPr>
        <w:tab/>
      </w:r>
      <w:r w:rsidRPr="00B12C2C">
        <w:rPr>
          <w:rFonts w:ascii="Arial" w:eastAsia="Times New Roman" w:hAnsi="Arial" w:cs="Arial"/>
          <w:b/>
          <w:sz w:val="20"/>
          <w:szCs w:val="20"/>
        </w:rPr>
        <w:tab/>
      </w:r>
      <w:r w:rsidRPr="00B12C2C">
        <w:rPr>
          <w:rFonts w:ascii="Arial" w:eastAsia="Times New Roman" w:hAnsi="Arial" w:cs="Arial"/>
          <w:b/>
          <w:sz w:val="20"/>
          <w:szCs w:val="20"/>
        </w:rPr>
        <w:tab/>
      </w:r>
      <w:r w:rsidRPr="00B12C2C">
        <w:rPr>
          <w:rFonts w:ascii="Arial" w:eastAsia="Times New Roman" w:hAnsi="Arial" w:cs="Arial"/>
          <w:b/>
          <w:caps/>
          <w:sz w:val="20"/>
          <w:szCs w:val="20"/>
        </w:rPr>
        <w:fldChar w:fldCharType="begin"/>
      </w:r>
      <w:r w:rsidRPr="00B12C2C">
        <w:rPr>
          <w:rFonts w:ascii="Arial" w:eastAsia="Times New Roman" w:hAnsi="Arial" w:cs="Arial"/>
          <w:b/>
          <w:caps/>
          <w:sz w:val="20"/>
          <w:szCs w:val="20"/>
        </w:rPr>
        <w:instrText xml:space="preserve"> DATE \@ "d MMMM yyyy" </w:instrText>
      </w:r>
      <w:r w:rsidRPr="00B12C2C">
        <w:rPr>
          <w:rFonts w:ascii="Arial" w:eastAsia="Times New Roman" w:hAnsi="Arial" w:cs="Arial"/>
          <w:b/>
          <w:caps/>
          <w:sz w:val="20"/>
          <w:szCs w:val="20"/>
        </w:rPr>
        <w:fldChar w:fldCharType="separate"/>
      </w:r>
      <w:r w:rsidR="0082212A">
        <w:rPr>
          <w:rFonts w:ascii="Arial" w:eastAsia="Times New Roman" w:hAnsi="Arial" w:cs="Arial"/>
          <w:b/>
          <w:caps/>
          <w:noProof/>
          <w:sz w:val="20"/>
          <w:szCs w:val="20"/>
        </w:rPr>
        <w:t>15 September 2025</w:t>
      </w:r>
      <w:r w:rsidRPr="00B12C2C">
        <w:rPr>
          <w:rFonts w:ascii="Arial" w:eastAsia="Times New Roman" w:hAnsi="Arial" w:cs="Arial"/>
          <w:b/>
          <w:caps/>
          <w:sz w:val="20"/>
          <w:szCs w:val="20"/>
        </w:rPr>
        <w:fldChar w:fldCharType="end"/>
      </w:r>
      <w:r w:rsidR="00C13FCC" w:rsidRPr="00B12C2C">
        <w:rPr>
          <w:rFonts w:ascii="Arial" w:eastAsia="Times New Roman" w:hAnsi="Arial" w:cs="Arial"/>
          <w:sz w:val="20"/>
          <w:szCs w:val="20"/>
        </w:rPr>
        <w:tab/>
      </w:r>
    </w:p>
    <w:p w14:paraId="7F372EB5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0307DB48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5F7400A4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63F0E35E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2B4F7CB8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23706414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29BC26D0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3229C158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06EB2743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064DE419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753453BE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737D96DB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3411530F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17AC37E6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44E9370A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41F15539" w14:textId="77777777" w:rsidR="0004614E" w:rsidRPr="00B12C2C" w:rsidRDefault="0004614E" w:rsidP="0004614E">
      <w:pPr>
        <w:rPr>
          <w:rFonts w:ascii="Arial" w:eastAsia="Times New Roman" w:hAnsi="Arial" w:cs="Arial"/>
          <w:sz w:val="20"/>
          <w:szCs w:val="20"/>
        </w:rPr>
      </w:pPr>
    </w:p>
    <w:p w14:paraId="73FBEB82" w14:textId="55D0654B" w:rsidR="008023CF" w:rsidRPr="00B12C2C" w:rsidRDefault="008023CF" w:rsidP="000157A2">
      <w:pPr>
        <w:tabs>
          <w:tab w:val="left" w:pos="2160"/>
        </w:tabs>
        <w:rPr>
          <w:rFonts w:ascii="Arial" w:eastAsia="Times New Roman" w:hAnsi="Arial" w:cs="Arial"/>
          <w:sz w:val="20"/>
          <w:szCs w:val="20"/>
        </w:rPr>
        <w:sectPr w:rsidR="008023CF" w:rsidRPr="00B12C2C" w:rsidSect="001C0769">
          <w:footerReference w:type="default" r:id="rId11"/>
          <w:footerReference w:type="first" r:id="rId12"/>
          <w:type w:val="continuous"/>
          <w:pgSz w:w="11907" w:h="16840" w:code="9"/>
          <w:pgMar w:top="1440" w:right="1440" w:bottom="1440" w:left="1440" w:header="709" w:footer="709" w:gutter="0"/>
          <w:paperSrc w:first="262" w:other="262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="200" w:tblpY="826"/>
        <w:tblW w:w="4926" w:type="pct"/>
        <w:tblLayout w:type="fixed"/>
        <w:tblLook w:val="04A0" w:firstRow="1" w:lastRow="0" w:firstColumn="1" w:lastColumn="0" w:noHBand="0" w:noVBand="1"/>
      </w:tblPr>
      <w:tblGrid>
        <w:gridCol w:w="10883"/>
        <w:gridCol w:w="3566"/>
      </w:tblGrid>
      <w:tr w:rsidR="001235ED" w:rsidRPr="00B12C2C" w14:paraId="4DF93539" w14:textId="77777777" w:rsidTr="001235ED">
        <w:trPr>
          <w:trHeight w:val="2351"/>
        </w:trPr>
        <w:tc>
          <w:tcPr>
            <w:tcW w:w="10883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8893B5" w14:textId="77777777" w:rsidR="001235ED" w:rsidRPr="00B12C2C" w:rsidRDefault="001235ED" w:rsidP="00123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C2C">
              <w:rPr>
                <w:rFonts w:ascii="Arial" w:eastAsia="Times New Roman" w:hAnsi="Arial" w:cs="Arial"/>
                <w:b/>
                <w:caps/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406BF5A6" wp14:editId="08BBBD52">
                  <wp:extent cx="2028825" cy="1152525"/>
                  <wp:effectExtent l="0" t="0" r="9525" b="9525"/>
                  <wp:docPr id="149" name="Picture 5" descr="C:\Users\stuart.norrie\AppData\Local\Temp\6\Domino Web Access\tpflogoducolour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uart.norrie\AppData\Local\Temp\6\Domino Web Access\tpflogoducolourl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77904" w14:textId="77777777" w:rsidR="001235ED" w:rsidRPr="00B12C2C" w:rsidRDefault="001235ED" w:rsidP="001235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2C2C">
              <w:rPr>
                <w:rFonts w:ascii="Arial" w:eastAsia="Palatino Linotype" w:hAnsi="Arial" w:cs="Arial"/>
                <w:b/>
                <w:color w:val="1D2828"/>
                <w:sz w:val="20"/>
                <w:szCs w:val="20"/>
              </w:rPr>
              <w:t>Quarterly Risk Report</w:t>
            </w:r>
          </w:p>
          <w:p w14:paraId="160A8EBC" w14:textId="77777777" w:rsidR="001235ED" w:rsidRPr="00B12C2C" w:rsidRDefault="001235ED" w:rsidP="001235ED">
            <w:pPr>
              <w:spacing w:after="0"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B12C2C">
              <w:rPr>
                <w:rFonts w:ascii="Arial" w:eastAsia="Palatino Linotype" w:hAnsi="Arial" w:cs="Arial"/>
                <w:b/>
                <w:color w:val="1D2828"/>
                <w:sz w:val="20"/>
                <w:szCs w:val="20"/>
              </w:rPr>
              <w:t xml:space="preserve">Report Type: </w:t>
            </w:r>
            <w:r w:rsidRPr="00B12C2C">
              <w:rPr>
                <w:rFonts w:ascii="Arial" w:eastAsia="Palatino Linotype" w:hAnsi="Arial" w:cs="Arial"/>
                <w:color w:val="1D2828"/>
                <w:sz w:val="20"/>
                <w:szCs w:val="20"/>
              </w:rPr>
              <w:t>Tayside Pensions Fund</w:t>
            </w:r>
            <w:r w:rsidRPr="00B12C2C">
              <w:rPr>
                <w:rFonts w:ascii="Arial" w:eastAsia="Palatino Linotype" w:hAnsi="Arial" w:cs="Arial"/>
                <w:b/>
                <w:color w:val="1D2828"/>
                <w:sz w:val="20"/>
                <w:szCs w:val="20"/>
              </w:rPr>
              <w:t xml:space="preserve"> </w:t>
            </w:r>
            <w:r w:rsidRPr="00B12C2C">
              <w:rPr>
                <w:rFonts w:ascii="Arial" w:eastAsia="Palatino Linotype" w:hAnsi="Arial" w:cs="Arial"/>
                <w:color w:val="1D2828"/>
                <w:sz w:val="20"/>
                <w:szCs w:val="20"/>
              </w:rPr>
              <w:t xml:space="preserve">Risks Report                                                 </w:t>
            </w:r>
          </w:p>
          <w:p w14:paraId="2E127493" w14:textId="77777777" w:rsidR="001235ED" w:rsidRPr="00B12C2C" w:rsidRDefault="001235ED" w:rsidP="001235ED">
            <w:pPr>
              <w:spacing w:after="0"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B12C2C">
              <w:rPr>
                <w:rFonts w:ascii="Arial" w:eastAsia="Palatino Linotype" w:hAnsi="Arial" w:cs="Arial"/>
                <w:b/>
                <w:color w:val="1D2828"/>
                <w:sz w:val="20"/>
                <w:szCs w:val="20"/>
              </w:rPr>
              <w:t xml:space="preserve">Report Author: </w:t>
            </w:r>
            <w:r w:rsidRPr="00B12C2C">
              <w:rPr>
                <w:rFonts w:ascii="Arial" w:eastAsia="Palatino Linotype" w:hAnsi="Arial" w:cs="Arial"/>
                <w:color w:val="1D2828"/>
                <w:sz w:val="20"/>
                <w:szCs w:val="20"/>
              </w:rPr>
              <w:t>Executive Director of Corporate Services</w:t>
            </w:r>
          </w:p>
          <w:p w14:paraId="3E38983B" w14:textId="1F72235B" w:rsidR="001235ED" w:rsidRPr="00B12C2C" w:rsidRDefault="001235ED" w:rsidP="00DC7B95">
            <w:pPr>
              <w:spacing w:after="0" w:line="240" w:lineRule="auto"/>
              <w:rPr>
                <w:rFonts w:ascii="Arial" w:eastAsia="Palatino Linotype" w:hAnsi="Arial" w:cs="Arial"/>
                <w:color w:val="1D2828"/>
                <w:sz w:val="20"/>
                <w:szCs w:val="20"/>
              </w:rPr>
            </w:pPr>
            <w:r w:rsidRPr="00B12C2C">
              <w:rPr>
                <w:rFonts w:ascii="Arial" w:eastAsia="Palatino Linotype" w:hAnsi="Arial" w:cs="Arial"/>
                <w:b/>
                <w:color w:val="1D2828"/>
                <w:sz w:val="20"/>
                <w:szCs w:val="20"/>
              </w:rPr>
              <w:t xml:space="preserve">Generated on: </w:t>
            </w:r>
            <w:r w:rsidR="00320D36" w:rsidRPr="00B12C2C">
              <w:rPr>
                <w:rFonts w:ascii="Arial" w:eastAsia="Palatino Linotype" w:hAnsi="Arial" w:cs="Arial"/>
                <w:color w:val="1D2828"/>
                <w:sz w:val="20"/>
                <w:szCs w:val="20"/>
              </w:rPr>
              <w:t xml:space="preserve">20 </w:t>
            </w:r>
            <w:r w:rsidR="00B12C2C" w:rsidRPr="00B12C2C">
              <w:rPr>
                <w:rFonts w:ascii="Arial" w:eastAsia="Palatino Linotype" w:hAnsi="Arial" w:cs="Arial"/>
                <w:color w:val="1D2828"/>
                <w:sz w:val="20"/>
                <w:szCs w:val="20"/>
              </w:rPr>
              <w:t>August</w:t>
            </w:r>
            <w:r w:rsidR="000754B6" w:rsidRPr="00B12C2C">
              <w:rPr>
                <w:rFonts w:ascii="Arial" w:eastAsia="Palatino Linotype" w:hAnsi="Arial" w:cs="Arial"/>
                <w:color w:val="1D2828"/>
                <w:sz w:val="20"/>
                <w:szCs w:val="20"/>
              </w:rPr>
              <w:t xml:space="preserve"> 2025</w:t>
            </w:r>
          </w:p>
          <w:p w14:paraId="150F00AC" w14:textId="1D58EBD0" w:rsidR="001F186C" w:rsidRPr="00B12C2C" w:rsidRDefault="001F186C" w:rsidP="00DC7B95">
            <w:pPr>
              <w:spacing w:after="0"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7966C2" w14:textId="77777777" w:rsidR="001235ED" w:rsidRPr="00B12C2C" w:rsidRDefault="001235ED" w:rsidP="001235ED">
            <w:pPr>
              <w:spacing w:after="0" w:line="240" w:lineRule="auto"/>
              <w:jc w:val="right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</w:p>
          <w:p w14:paraId="47D44C79" w14:textId="07D4C2B0" w:rsidR="001F186C" w:rsidRPr="00B12C2C" w:rsidRDefault="001F186C" w:rsidP="001F186C">
            <w:pPr>
              <w:spacing w:after="0" w:line="240" w:lineRule="auto"/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</w:pPr>
            <w:r w:rsidRPr="00B12C2C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B12C2C"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  <w:t>Pentana</w:t>
            </w:r>
            <w:proofErr w:type="spellEnd"/>
            <w:r w:rsidRPr="00B12C2C"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  <w:t xml:space="preserve"> Risk Matrix</w:t>
            </w:r>
          </w:p>
          <w:p w14:paraId="64719F2B" w14:textId="77777777" w:rsidR="001F186C" w:rsidRPr="00B12C2C" w:rsidRDefault="001F186C" w:rsidP="001235ED">
            <w:pPr>
              <w:spacing w:after="0" w:line="240" w:lineRule="auto"/>
              <w:jc w:val="right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</w:p>
          <w:p w14:paraId="7B999515" w14:textId="003A81B3" w:rsidR="001F186C" w:rsidRPr="00B12C2C" w:rsidRDefault="001F186C" w:rsidP="001235ED">
            <w:pPr>
              <w:spacing w:after="0" w:line="240" w:lineRule="auto"/>
              <w:jc w:val="right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8E70C4" wp14:editId="7688E6A5">
                  <wp:extent cx="2057400" cy="1066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7BA971" w14:textId="4C64CC80" w:rsidR="00C0524A" w:rsidRPr="00B12C2C" w:rsidRDefault="00C0524A" w:rsidP="001235ED">
      <w:pPr>
        <w:spacing w:after="0" w:line="12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1960"/>
        <w:gridCol w:w="1819"/>
        <w:gridCol w:w="2238"/>
        <w:gridCol w:w="1559"/>
        <w:gridCol w:w="2102"/>
        <w:gridCol w:w="1417"/>
        <w:gridCol w:w="1560"/>
      </w:tblGrid>
      <w:tr w:rsidR="006D3DC4" w:rsidRPr="00B12C2C" w14:paraId="13ED6F4F" w14:textId="62B8167F" w:rsidTr="2AD17A58">
        <w:trPr>
          <w:tblHeader/>
        </w:trPr>
        <w:tc>
          <w:tcPr>
            <w:tcW w:w="25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625E26" w14:textId="51324DF9" w:rsidR="006D3DC4" w:rsidRPr="00B12C2C" w:rsidRDefault="006D3DC4" w:rsidP="00FF77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  <w:t xml:space="preserve">Risk </w:t>
            </w:r>
            <w:r w:rsidR="00A76709" w:rsidRPr="00B12C2C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  <w:t xml:space="preserve">Type &amp; </w:t>
            </w:r>
            <w:r w:rsidRPr="00B12C2C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1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F0"/>
          </w:tcPr>
          <w:p w14:paraId="0BC2BEC2" w14:textId="77777777" w:rsidR="006D3DC4" w:rsidRPr="00B12C2C" w:rsidRDefault="006D3DC4" w:rsidP="00FF77D6">
            <w:pPr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  <w:t>Causes</w:t>
            </w:r>
          </w:p>
        </w:tc>
        <w:tc>
          <w:tcPr>
            <w:tcW w:w="1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F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1CE1FB" w14:textId="77777777" w:rsidR="006D3DC4" w:rsidRPr="00B12C2C" w:rsidRDefault="006D3DC4" w:rsidP="00FF77D6">
            <w:pPr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  <w:t xml:space="preserve">Impact </w:t>
            </w:r>
          </w:p>
        </w:tc>
        <w:tc>
          <w:tcPr>
            <w:tcW w:w="2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F0"/>
          </w:tcPr>
          <w:p w14:paraId="74163B4A" w14:textId="77777777" w:rsidR="006D3DC4" w:rsidRPr="00B12C2C" w:rsidRDefault="006D3DC4" w:rsidP="00FF77D6">
            <w:pPr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  <w:t xml:space="preserve">Consequence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F0"/>
          </w:tcPr>
          <w:p w14:paraId="1549605C" w14:textId="399EEC3C" w:rsidR="006D3DC4" w:rsidRPr="00B12C2C" w:rsidRDefault="006D3DC4" w:rsidP="00FF77D6">
            <w:pPr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  <w:t>Inherent Risk</w:t>
            </w:r>
          </w:p>
        </w:tc>
        <w:tc>
          <w:tcPr>
            <w:tcW w:w="2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F0"/>
          </w:tcPr>
          <w:p w14:paraId="4E1C01E6" w14:textId="46C38629" w:rsidR="006D3DC4" w:rsidRPr="00B12C2C" w:rsidRDefault="006D3DC4" w:rsidP="00FF77D6">
            <w:pPr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  <w:t>Controls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F0"/>
          </w:tcPr>
          <w:p w14:paraId="090E8936" w14:textId="2E691554" w:rsidR="006D3DC4" w:rsidRPr="00B12C2C" w:rsidRDefault="006D3DC4" w:rsidP="00FF77D6">
            <w:pPr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  <w:t>Residual Risk (Previous Quarter)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F0"/>
          </w:tcPr>
          <w:p w14:paraId="4B43EC0A" w14:textId="2C5E41D8" w:rsidR="006D3DC4" w:rsidRPr="00B12C2C" w:rsidRDefault="006D3DC4" w:rsidP="00FF77D6">
            <w:pPr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000000"/>
                <w:sz w:val="20"/>
                <w:szCs w:val="20"/>
                <w:lang w:eastAsia="en-GB"/>
              </w:rPr>
              <w:t>Residual Risk (Current)</w:t>
            </w:r>
          </w:p>
        </w:tc>
      </w:tr>
      <w:tr w:rsidR="006D3DC4" w:rsidRPr="00B12C2C" w14:paraId="07F4430E" w14:textId="07C316AD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65C3EE" w14:textId="524F966F" w:rsidR="00A76709" w:rsidRPr="00B12C2C" w:rsidRDefault="00A76709" w:rsidP="00A76709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Pension Administration</w:t>
            </w:r>
          </w:p>
          <w:p w14:paraId="6BBCEF6D" w14:textId="21C921BB" w:rsidR="00A76709" w:rsidRPr="00B12C2C" w:rsidRDefault="00330B63" w:rsidP="00A76709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5A5A0B1D" w14:textId="77777777" w:rsidR="00330B63" w:rsidRPr="00B12C2C" w:rsidRDefault="00330B63" w:rsidP="00A76709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16D3F30F" w14:textId="050CB781" w:rsidR="00B83570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to process pension payments and lump sums on time</w:t>
            </w:r>
          </w:p>
          <w:p w14:paraId="2AB82AA8" w14:textId="77777777" w:rsidR="00B83570" w:rsidRPr="00B12C2C" w:rsidRDefault="00B83570" w:rsidP="00B8357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1612881" w14:textId="77777777" w:rsidR="00B83570" w:rsidRPr="00B12C2C" w:rsidRDefault="00B83570" w:rsidP="00B8357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8C6F7BC" w14:textId="77777777" w:rsidR="00B83570" w:rsidRPr="00B12C2C" w:rsidRDefault="00B83570" w:rsidP="00B8357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2368476" w14:textId="77777777" w:rsidR="00B83570" w:rsidRPr="00B12C2C" w:rsidRDefault="00B83570" w:rsidP="00B8357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900F76C" w14:textId="77777777" w:rsidR="00B83570" w:rsidRPr="00B12C2C" w:rsidRDefault="00B83570" w:rsidP="00B8357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8DD52BC" w14:textId="77777777" w:rsidR="00B83570" w:rsidRPr="00B12C2C" w:rsidRDefault="00B83570" w:rsidP="00B8357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6B71CB5" w14:textId="77777777" w:rsidR="00B83570" w:rsidRPr="00B12C2C" w:rsidRDefault="00B83570" w:rsidP="00B8357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40407E2" w14:textId="77777777" w:rsidR="00B83570" w:rsidRPr="00B12C2C" w:rsidRDefault="00B83570" w:rsidP="00B8357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3E8892F" w14:textId="29AF128A" w:rsidR="006D3DC4" w:rsidRPr="00B12C2C" w:rsidRDefault="00B83570" w:rsidP="00B83570">
            <w:pPr>
              <w:tabs>
                <w:tab w:val="left" w:pos="1780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C203341" w14:textId="77777777" w:rsidR="006D3DC4" w:rsidRPr="00B12C2C" w:rsidRDefault="006D3DC4" w:rsidP="00FB14F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Non-availability of pension / payroll systems</w:t>
            </w:r>
          </w:p>
          <w:p w14:paraId="5A5B3647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Resource unavailable</w:t>
            </w:r>
          </w:p>
          <w:p w14:paraId="783E30AF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New staff undertaking duties</w:t>
            </w:r>
          </w:p>
          <w:p w14:paraId="04DEA330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Increased workload</w:t>
            </w:r>
          </w:p>
          <w:p w14:paraId="6C27146B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to gain relevant information from employers to enable processing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473E9D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Processing delays</w:t>
            </w:r>
          </w:p>
          <w:p w14:paraId="7239DCAE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Processing errors</w:t>
            </w:r>
          </w:p>
          <w:p w14:paraId="30D402A3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Retiring members will be paid late </w:t>
            </w:r>
          </w:p>
          <w:p w14:paraId="5075F1C5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Reputational risk for the Fund </w:t>
            </w:r>
          </w:p>
          <w:p w14:paraId="57C8E224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Breach of statutory requirements 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098552C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Financial implications for members. </w:t>
            </w:r>
          </w:p>
          <w:p w14:paraId="7F084781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confidence.</w:t>
            </w:r>
          </w:p>
          <w:p w14:paraId="7BAC2DD9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cost to the fund if interest has to be paid to members.</w:t>
            </w:r>
          </w:p>
          <w:p w14:paraId="1767E621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Regulatory action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6AC9E77" w14:textId="53DA4F49" w:rsidR="006D3DC4" w:rsidRPr="00B12C2C" w:rsidRDefault="006D3DC4" w:rsidP="008C1917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209376" wp14:editId="3D73513D">
                  <wp:extent cx="857250" cy="857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DA80719" w14:textId="77777777" w:rsidR="006D3DC4" w:rsidRPr="00B12C2C" w:rsidRDefault="006D3DC4" w:rsidP="00572B0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Regular update &amp; maintenance of Altair &amp; </w:t>
            </w:r>
            <w:proofErr w:type="spellStart"/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Resourcelink</w:t>
            </w:r>
            <w:proofErr w:type="spellEnd"/>
          </w:p>
          <w:p w14:paraId="1170CAE4" w14:textId="1E7CFF19" w:rsidR="006D3DC4" w:rsidRPr="00B12C2C" w:rsidRDefault="006D3DC4" w:rsidP="00572B0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Standardised processes &amp; independent review of calculations</w:t>
            </w:r>
          </w:p>
          <w:p w14:paraId="0C1E1E10" w14:textId="77777777" w:rsidR="006D3DC4" w:rsidRPr="00B12C2C" w:rsidRDefault="006D3DC4" w:rsidP="00572B0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Sufficient staff cover arrangements</w:t>
            </w:r>
          </w:p>
          <w:p w14:paraId="27511F35" w14:textId="77777777" w:rsidR="006D3DC4" w:rsidRPr="00B12C2C" w:rsidRDefault="006D3DC4" w:rsidP="00572B0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Task prioritisation</w:t>
            </w:r>
          </w:p>
          <w:p w14:paraId="3F4BBE8A" w14:textId="054C41F4" w:rsidR="006D3DC4" w:rsidRPr="00B12C2C" w:rsidRDefault="006D3DC4" w:rsidP="00572B0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Contingent measures to prevent financial detriment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9065B19" w14:textId="1EBF5257" w:rsidR="006D3DC4" w:rsidRPr="00B12C2C" w:rsidRDefault="0080645C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C6A1C2" wp14:editId="5B385442">
                  <wp:extent cx="771525" cy="761488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145" cy="76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E64F05F" w14:textId="3B48E3E7" w:rsidR="00510FD1" w:rsidRPr="00B12C2C" w:rsidRDefault="00330B63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5BD641" wp14:editId="3C376470">
                  <wp:extent cx="771525" cy="761488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145" cy="76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00D800" w14:textId="684E308A" w:rsidR="006D3DC4" w:rsidRPr="00B12C2C" w:rsidRDefault="0080645C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  <w:p w14:paraId="704F97E2" w14:textId="77777777" w:rsidR="00A76709" w:rsidRPr="00B12C2C" w:rsidRDefault="00A76709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249928F" w14:textId="5A01A7F9" w:rsidR="00A76709" w:rsidRPr="00B12C2C" w:rsidRDefault="00A76709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D3DC4" w:rsidRPr="00B12C2C" w14:paraId="600EA4B0" w14:textId="3B885C21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8BD407" w14:textId="3C91974D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lastRenderedPageBreak/>
              <w:t>Funding - Employer related</w:t>
            </w:r>
          </w:p>
          <w:p w14:paraId="38DC79DA" w14:textId="5BD0E793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cautious)</w:t>
            </w:r>
          </w:p>
          <w:p w14:paraId="69DD29F2" w14:textId="77777777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40BD1301" w14:textId="7D3B5FF5" w:rsidR="006D3DC4" w:rsidRPr="00B12C2C" w:rsidRDefault="006D3DC4" w:rsidP="006D3D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to collect and account for contributions from employers and employees on time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308ED991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Non-availability of financial system (Fund and employer)</w:t>
            </w:r>
          </w:p>
          <w:p w14:paraId="733D5F19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Resource unavailable</w:t>
            </w:r>
          </w:p>
          <w:p w14:paraId="1476309B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New staff undertaking duties</w:t>
            </w:r>
          </w:p>
          <w:p w14:paraId="15335ACA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Failure to communicate with employers effectively </w:t>
            </w:r>
          </w:p>
          <w:p w14:paraId="6E2EBEDD" w14:textId="3106639D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of employer to provide required information</w:t>
            </w:r>
          </w:p>
          <w:p w14:paraId="5D284F42" w14:textId="77777777" w:rsidR="006D3DC4" w:rsidRPr="00B12C2C" w:rsidRDefault="006D3DC4" w:rsidP="004469C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25D0911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of employer to make financial settlement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31907E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Adverse audit opinion </w:t>
            </w:r>
          </w:p>
          <w:p w14:paraId="0680F7E9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Breach of statutory requirements</w:t>
            </w:r>
          </w:p>
          <w:p w14:paraId="1CB359B9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Knock on effect on reporting requirements</w:t>
            </w:r>
          </w:p>
          <w:p w14:paraId="2785CAE7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impact as insufficient cashflow to meet monthly pension payments without unplanned sale of assets</w:t>
            </w:r>
          </w:p>
          <w:p w14:paraId="52C5B857" w14:textId="77777777" w:rsidR="006D3DC4" w:rsidRPr="00B12C2C" w:rsidRDefault="006D3DC4" w:rsidP="00FF77D6">
            <w:pPr>
              <w:pStyle w:val="ListParagraph"/>
              <w:spacing w:after="0" w:line="240" w:lineRule="auto"/>
              <w:ind w:left="360"/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</w:pPr>
          </w:p>
          <w:p w14:paraId="063DB2D5" w14:textId="77777777" w:rsidR="006D3DC4" w:rsidRPr="00B12C2C" w:rsidRDefault="006D3DC4" w:rsidP="00FF77D6">
            <w:pPr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080244F6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Requirement for report of regulatory breach &amp; subsequent action if required</w:t>
            </w:r>
          </w:p>
          <w:p w14:paraId="5A1C51F4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Potential delays to employers' FRS17 year-end accounting reports </w:t>
            </w:r>
          </w:p>
          <w:p w14:paraId="0B80ED83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</w:t>
            </w:r>
          </w:p>
          <w:p w14:paraId="6C247555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Recovery / legal action required</w:t>
            </w:r>
          </w:p>
          <w:p w14:paraId="4DB6274D" w14:textId="77777777" w:rsidR="006D3DC4" w:rsidRPr="00B12C2C" w:rsidRDefault="006D3DC4" w:rsidP="00FA6FD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Opportunity cost of lost investment income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73D5DFC7" w14:textId="603B4008" w:rsidR="006D3DC4" w:rsidRPr="00B12C2C" w:rsidRDefault="006D3DC4" w:rsidP="00411D22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1465EB" wp14:editId="3C1932B5">
                  <wp:extent cx="857250" cy="874305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292" cy="887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FD25F4E" w14:textId="57EC7862" w:rsidR="006D3DC4" w:rsidRPr="00B12C2C" w:rsidRDefault="006D3DC4" w:rsidP="00FC687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  <w:t xml:space="preserve">Robust maintenance and update of </w:t>
            </w:r>
            <w:proofErr w:type="spellStart"/>
            <w:r w:rsidRPr="00B12C2C"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  <w:t>Resourcelink</w:t>
            </w:r>
            <w:proofErr w:type="spellEnd"/>
            <w:r w:rsidRPr="00B12C2C"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  <w:t xml:space="preserve"> and Authority Financials systems</w:t>
            </w:r>
          </w:p>
          <w:p w14:paraId="175DEF63" w14:textId="77777777" w:rsidR="006D3DC4" w:rsidRPr="00B12C2C" w:rsidRDefault="006D3DC4" w:rsidP="00FC687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  <w:t>Sufficient staff cover arrangements</w:t>
            </w:r>
          </w:p>
          <w:p w14:paraId="1CC28458" w14:textId="6F45BCCB" w:rsidR="006D3DC4" w:rsidRPr="00B12C2C" w:rsidRDefault="006D3DC4" w:rsidP="00FC687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  <w:t xml:space="preserve">Staff training and checking of work. </w:t>
            </w:r>
          </w:p>
          <w:p w14:paraId="4C55D492" w14:textId="6168982D" w:rsidR="006D3DC4" w:rsidRPr="00B12C2C" w:rsidRDefault="006D3DC4" w:rsidP="00FC687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  <w:t>Ongoing employer communication to ensure they understand responsibilities to pay by the 19th of the month.</w:t>
            </w:r>
          </w:p>
          <w:p w14:paraId="0A847B5C" w14:textId="3CD18130" w:rsidR="006D3DC4" w:rsidRPr="00B12C2C" w:rsidRDefault="006D3DC4" w:rsidP="00592A8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  <w:t xml:space="preserve">Contribution tracker system </w:t>
            </w:r>
          </w:p>
          <w:p w14:paraId="4EB2ABF1" w14:textId="177D21EF" w:rsidR="006D3DC4" w:rsidRPr="00B12C2C" w:rsidRDefault="006D3DC4" w:rsidP="00592A8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sz w:val="20"/>
                <w:szCs w:val="20"/>
                <w:lang w:eastAsia="en-GB"/>
              </w:rPr>
              <w:t>Introduction of employer contribution payment flexibility within financial year (subject to agreement)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D289D24" w14:textId="47096CFD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A6F51C" wp14:editId="1BA1DFCE">
                  <wp:extent cx="829947" cy="819150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40" cy="82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C5F504A" w14:textId="0873BFCC" w:rsidR="006B5169" w:rsidRPr="00B12C2C" w:rsidRDefault="006B5169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91B7F2" wp14:editId="6449DB02">
                  <wp:extent cx="771525" cy="761488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145" cy="76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0AC182" w14:textId="6E8B650F" w:rsidR="006B5169" w:rsidRPr="00B12C2C" w:rsidRDefault="006B5169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  <w:p w14:paraId="79433234" w14:textId="10BCB224" w:rsidR="006B5169" w:rsidRPr="00B12C2C" w:rsidRDefault="006B5169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D3DC4" w:rsidRPr="00B12C2C" w14:paraId="0F1A8AFE" w14:textId="21E9FB64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BF3862" w14:textId="2F51C7C4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lastRenderedPageBreak/>
              <w:t>Funding - Liquidity</w:t>
            </w:r>
          </w:p>
          <w:p w14:paraId="0B9A1799" w14:textId="71062C8F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averse)</w:t>
            </w:r>
          </w:p>
          <w:p w14:paraId="499594D8" w14:textId="77777777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2CD0ED79" w14:textId="318800DB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Insufficient funds to meet liabilities as they fall due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6330642" w14:textId="77777777" w:rsidR="006D3DC4" w:rsidRPr="00B12C2C" w:rsidRDefault="006D3DC4" w:rsidP="00FA6F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Contribution levels are inadequate  </w:t>
            </w:r>
          </w:p>
          <w:p w14:paraId="4E8400DF" w14:textId="77777777" w:rsidR="006D3DC4" w:rsidRPr="00B12C2C" w:rsidRDefault="006D3DC4" w:rsidP="00FA6F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Contributions </w:t>
            </w:r>
          </w:p>
          <w:p w14:paraId="39223E42" w14:textId="77777777" w:rsidR="006D3DC4" w:rsidRPr="00B12C2C" w:rsidRDefault="006D3DC4" w:rsidP="00FA6F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Investment strategy fails to deliver adequate returns </w:t>
            </w:r>
          </w:p>
          <w:p w14:paraId="71BB3C3F" w14:textId="77777777" w:rsidR="006D3DC4" w:rsidRPr="00B12C2C" w:rsidRDefault="006D3DC4" w:rsidP="00FA6F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Significant changes in member profile (i.e. rapid maturing of fund liabilities)</w:t>
            </w:r>
          </w:p>
          <w:p w14:paraId="370327A9" w14:textId="77777777" w:rsidR="006D3DC4" w:rsidRPr="00B12C2C" w:rsidRDefault="006D3DC4" w:rsidP="00FA6F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Significant increases in actuarial assumptions (i.e. longevity. 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155218" w14:textId="77777777" w:rsidR="006D3DC4" w:rsidRPr="00B12C2C" w:rsidRDefault="006D3DC4" w:rsidP="00FA6F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Rise in employer contribution rate required</w:t>
            </w:r>
          </w:p>
          <w:p w14:paraId="3FFB1213" w14:textId="77777777" w:rsidR="006D3DC4" w:rsidRPr="00B12C2C" w:rsidRDefault="006D3DC4" w:rsidP="00FA6F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Unplanned asset sales required to meet </w:t>
            </w:r>
          </w:p>
          <w:p w14:paraId="1DF134F4" w14:textId="77777777" w:rsidR="006D3DC4" w:rsidRPr="00B12C2C" w:rsidRDefault="006D3DC4" w:rsidP="00FA6F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Revision of Funding and Investment strategies required</w:t>
            </w:r>
          </w:p>
          <w:p w14:paraId="49892425" w14:textId="77777777" w:rsidR="006D3DC4" w:rsidRPr="00B12C2C" w:rsidRDefault="006D3DC4" w:rsidP="00FF77D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D3C7F6D" w14:textId="77777777" w:rsidR="006D3DC4" w:rsidRPr="00B12C2C" w:rsidRDefault="006D3DC4" w:rsidP="00FA6F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Inability to meet overall strategic objectives</w:t>
            </w:r>
          </w:p>
          <w:p w14:paraId="04F1463A" w14:textId="77777777" w:rsidR="006D3DC4" w:rsidRPr="00B12C2C" w:rsidRDefault="006D3DC4" w:rsidP="00FA6F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Immediate cash injections would be required from employers by means of contributions</w:t>
            </w:r>
          </w:p>
          <w:p w14:paraId="371FD971" w14:textId="77777777" w:rsidR="006D3DC4" w:rsidRPr="00B12C2C" w:rsidRDefault="006D3DC4" w:rsidP="00FA6F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Reduced funding levels</w:t>
            </w:r>
          </w:p>
          <w:p w14:paraId="5BE58AA2" w14:textId="77777777" w:rsidR="006D3DC4" w:rsidRPr="00B12C2C" w:rsidRDefault="006D3DC4" w:rsidP="00FA6F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Lost investment income from unplanned asset sales</w:t>
            </w:r>
          </w:p>
          <w:p w14:paraId="100446BD" w14:textId="77777777" w:rsidR="006D3DC4" w:rsidRPr="00B12C2C" w:rsidRDefault="006D3DC4" w:rsidP="00FA6F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Transaction costs associated with changing strategies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0B66DD8C" w14:textId="6E9128CF" w:rsidR="006D3DC4" w:rsidRPr="00B12C2C" w:rsidRDefault="006D3DC4" w:rsidP="008C47C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D77559" wp14:editId="3D39A40A">
                  <wp:extent cx="895350" cy="895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3FAC15A0" w14:textId="77777777" w:rsidR="006D3DC4" w:rsidRPr="00B12C2C" w:rsidRDefault="006D3DC4" w:rsidP="0051672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Funding Strategy Statement </w:t>
            </w:r>
          </w:p>
          <w:p w14:paraId="47C67F9B" w14:textId="77777777" w:rsidR="006D3DC4" w:rsidRPr="00B12C2C" w:rsidRDefault="006D3DC4" w:rsidP="0051672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Investment Strategy </w:t>
            </w:r>
          </w:p>
          <w:p w14:paraId="14E76A12" w14:textId="77587A47" w:rsidR="006D3DC4" w:rsidRPr="00B12C2C" w:rsidRDefault="006D3DC4" w:rsidP="0051672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Ongoing advice from investment consultants, etc.</w:t>
            </w:r>
          </w:p>
          <w:p w14:paraId="7FAC5859" w14:textId="58F39D53" w:rsidR="006D3DC4" w:rsidRPr="00B12C2C" w:rsidRDefault="006D3DC4" w:rsidP="008C47C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Suitable policies &amp; strategies in place to prevent</w:t>
            </w:r>
          </w:p>
          <w:p w14:paraId="2F1AA128" w14:textId="77777777" w:rsidR="006D3DC4" w:rsidRPr="00B12C2C" w:rsidRDefault="006D3DC4" w:rsidP="0051672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Regular monitoring of asset / liability valuations</w:t>
            </w:r>
          </w:p>
          <w:p w14:paraId="2BA55A18" w14:textId="67CF527D" w:rsidR="006D3DC4" w:rsidRPr="00B12C2C" w:rsidRDefault="006D3DC4" w:rsidP="0051672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Triennial actuarial valuations </w:t>
            </w:r>
          </w:p>
          <w:p w14:paraId="07D1CF1C" w14:textId="279F8E16" w:rsidR="006D3DC4" w:rsidRPr="00B12C2C" w:rsidRDefault="006D3DC4" w:rsidP="0051672E">
            <w:pPr>
              <w:pStyle w:val="ListParagraph"/>
              <w:spacing w:after="0" w:line="240" w:lineRule="auto"/>
              <w:ind w:left="360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6783A95" w14:textId="2654BC3C" w:rsidR="006D3DC4" w:rsidRPr="00B12C2C" w:rsidRDefault="007A3E02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C603B8" wp14:editId="16896CFB">
                  <wp:extent cx="799505" cy="838200"/>
                  <wp:effectExtent l="0" t="0" r="635" b="0"/>
                  <wp:docPr id="525278935" name="Picture 525278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983" cy="8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472A9C5E" w14:textId="6BB34F9D" w:rsidR="006D3DC4" w:rsidRPr="00B12C2C" w:rsidRDefault="0023084E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9023BF6" wp14:editId="45C32502">
                  <wp:extent cx="799505" cy="838200"/>
                  <wp:effectExtent l="0" t="0" r="635" b="0"/>
                  <wp:docPr id="1517005935" name="Picture 151700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983" cy="8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3EEA69" w14:textId="77777777" w:rsidR="003439D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85DE09B" w14:textId="64DAC861" w:rsidR="00F46DDD" w:rsidRPr="00B12C2C" w:rsidRDefault="007A3E02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78568FD3" w14:textId="347E5368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E9F3C4" w14:textId="1F3799EB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Operational</w:t>
            </w:r>
          </w:p>
          <w:p w14:paraId="3B396E0F" w14:textId="2ADEB6B8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2E944183" w14:textId="77777777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0852ECF2" w14:textId="40649608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Inability to maintain service due to loss of main office, computer system or staff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7058BC01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Fire, bomb, flood, etc.</w:t>
            </w:r>
          </w:p>
          <w:p w14:paraId="17316621" w14:textId="77777777" w:rsidR="006D3DC4" w:rsidRPr="00B12C2C" w:rsidRDefault="006D3DC4" w:rsidP="00FF77D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5D27CBE4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Staff unable to access office (i.e. public health restrictions)</w:t>
            </w:r>
          </w:p>
          <w:p w14:paraId="5AC5C3BE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IT system / network outage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328A9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Temporary loss of service provision. </w:t>
            </w:r>
          </w:p>
          <w:p w14:paraId="5E6BD706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Delayed payments &amp; processing</w:t>
            </w:r>
          </w:p>
          <w:p w14:paraId="6A24F64A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Retiring staff will be paid late </w:t>
            </w:r>
          </w:p>
          <w:p w14:paraId="2709716A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Reputational risk for the Fund </w:t>
            </w:r>
          </w:p>
          <w:p w14:paraId="3050C501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Breach of statutory requirements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5A27482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Financial implications for members. </w:t>
            </w:r>
          </w:p>
          <w:p w14:paraId="645C5B18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confidence.</w:t>
            </w:r>
          </w:p>
          <w:p w14:paraId="461F8694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cost to the fund if interest has to be paid to members.</w:t>
            </w:r>
          </w:p>
          <w:p w14:paraId="427AB3F5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Regulatory action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3DDCF280" w14:textId="630384CC" w:rsidR="006D3DC4" w:rsidRPr="00B12C2C" w:rsidRDefault="006D3DC4" w:rsidP="00FC687A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90A7FA5" wp14:editId="46B300CA">
                  <wp:extent cx="858435" cy="8699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910" cy="87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09E3FF2F" w14:textId="48051F96" w:rsidR="006D3DC4" w:rsidRPr="00B12C2C" w:rsidRDefault="006D3DC4" w:rsidP="00FC687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DCC business continuity plan (top priority)</w:t>
            </w:r>
          </w:p>
          <w:p w14:paraId="5AB8791D" w14:textId="35866074" w:rsidR="006D3DC4" w:rsidRPr="00B12C2C" w:rsidRDefault="006D3DC4" w:rsidP="00FC687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Contractual agreement with system provider</w:t>
            </w:r>
          </w:p>
          <w:p w14:paraId="7B5F2A5B" w14:textId="1B6E3757" w:rsidR="006D3DC4" w:rsidRPr="00B12C2C" w:rsidRDefault="006D3DC4" w:rsidP="00FC687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Daily back up and contingent procedures </w:t>
            </w:r>
          </w:p>
          <w:p w14:paraId="0CE8E09E" w14:textId="6401EA27" w:rsidR="006D3DC4" w:rsidRPr="00B12C2C" w:rsidRDefault="006D3DC4" w:rsidP="00FC687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Back-up server located in different building </w:t>
            </w:r>
          </w:p>
          <w:p w14:paraId="6A5746AF" w14:textId="3D7237CB" w:rsidR="006D3DC4" w:rsidRPr="00B12C2C" w:rsidRDefault="006D3DC4" w:rsidP="00FC687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100% staff remote working capabilities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CDEDEC3" w14:textId="23003D29" w:rsidR="006D3DC4" w:rsidRPr="00B12C2C" w:rsidRDefault="00990C2C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370C89" wp14:editId="69E8B7E9">
                  <wp:extent cx="832333" cy="855264"/>
                  <wp:effectExtent l="0" t="0" r="6350" b="2540"/>
                  <wp:docPr id="1716547754" name="Picture 1716547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918" cy="86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7F6ED788" w14:textId="2CF65991" w:rsidR="006D3DC4" w:rsidRPr="00B12C2C" w:rsidRDefault="00491EC6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D6D7C3" wp14:editId="6E000C1A">
                  <wp:extent cx="832333" cy="855264"/>
                  <wp:effectExtent l="0" t="0" r="6350" b="2540"/>
                  <wp:docPr id="1225333941" name="Picture 1225333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918" cy="86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27FFD" w14:textId="3CC2428E" w:rsidR="003439D4" w:rsidRPr="00B12C2C" w:rsidRDefault="00990C2C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439E5CAD" w14:textId="11050A7E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BB87E" w14:textId="77777777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lastRenderedPageBreak/>
              <w:t>Operational</w:t>
            </w:r>
          </w:p>
          <w:p w14:paraId="53B1B0AF" w14:textId="77777777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56923ED5" w14:textId="77777777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2BD878FB" w14:textId="3D14807E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funds through fraud or misappropriation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AA5FB3E" w14:textId="77777777" w:rsidR="006D3DC4" w:rsidRPr="00B12C2C" w:rsidRDefault="006D3DC4" w:rsidP="00FA6F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Fraud or misappropriation of funds by staff/employer/3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vertAlign w:val="superscript"/>
                <w:lang w:eastAsia="en-GB"/>
              </w:rPr>
              <w:t>rd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 party service provider 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A44CFE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Financial loss to the fund </w:t>
            </w:r>
          </w:p>
          <w:p w14:paraId="062A9374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Reputational risk for the Fund</w:t>
            </w:r>
          </w:p>
          <w:p w14:paraId="2A678130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Adverse audit opinion </w:t>
            </w:r>
          </w:p>
          <w:p w14:paraId="5FD3E32E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Breach of statutory requirements</w:t>
            </w:r>
          </w:p>
          <w:p w14:paraId="5EBF4642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Enforcement action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AF7370D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Requirement for report to regulator &amp; subsequent action if required</w:t>
            </w:r>
          </w:p>
          <w:p w14:paraId="2907EF33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Criminal investigation</w:t>
            </w:r>
          </w:p>
          <w:p w14:paraId="30704C92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</w:t>
            </w:r>
          </w:p>
          <w:p w14:paraId="5F365D18" w14:textId="77777777" w:rsidR="006D3DC4" w:rsidRPr="00B12C2C" w:rsidRDefault="006D3DC4" w:rsidP="00FA6FD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Recovery / legal action required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76D9FC39" w14:textId="555ABF05" w:rsidR="006D3DC4" w:rsidRPr="00B12C2C" w:rsidRDefault="006D3DC4" w:rsidP="00F02D8E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5EF5C4" wp14:editId="77071699">
                  <wp:extent cx="852170" cy="898525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34AD482" w14:textId="77777777" w:rsidR="006D3DC4" w:rsidRPr="00B12C2C" w:rsidRDefault="006D3DC4" w:rsidP="00000E9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Internal and external audit regularly test that appropriate controls are in place and working effectively. </w:t>
            </w:r>
          </w:p>
          <w:p w14:paraId="48C76042" w14:textId="77777777" w:rsidR="006D3DC4" w:rsidRPr="00B12C2C" w:rsidRDefault="006D3DC4" w:rsidP="00000E9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Regulatory control reports from investment managers, custodian, etc are also reviewed by audit. </w:t>
            </w:r>
          </w:p>
          <w:p w14:paraId="23C4A66F" w14:textId="2438FCD7" w:rsidR="006D3DC4" w:rsidRPr="00B12C2C" w:rsidRDefault="006D3DC4" w:rsidP="00000E9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Due diligence carried out when a new manager is appointed. </w:t>
            </w:r>
          </w:p>
          <w:p w14:paraId="7122D9D3" w14:textId="3CB832EF" w:rsidR="006D3DC4" w:rsidRPr="00B12C2C" w:rsidRDefault="006D3DC4" w:rsidP="00000E9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Reliance also placed on Financial Conduct Authority registration &amp; requirements.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4B1FB42" w14:textId="1AC8141A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B7FC3F" wp14:editId="1554A55A">
                  <wp:extent cx="852805" cy="894080"/>
                  <wp:effectExtent l="0" t="0" r="4445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B0F18E4" w14:textId="2A75FC5A" w:rsidR="006D3DC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5EE4A3" wp14:editId="6095F3BF">
                  <wp:extent cx="799505" cy="838200"/>
                  <wp:effectExtent l="0" t="0" r="63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983" cy="8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0D9BF3" w14:textId="7ED41D53" w:rsidR="003439D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  <w:p w14:paraId="097047BD" w14:textId="3ABB3C85" w:rsidR="003439D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D3DC4" w:rsidRPr="00B12C2C" w14:paraId="4FCD3F23" w14:textId="337CC779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0AE205" w14:textId="77777777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Funding - Employer related</w:t>
            </w:r>
          </w:p>
          <w:p w14:paraId="068DC0EC" w14:textId="77777777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cautious)</w:t>
            </w:r>
          </w:p>
          <w:p w14:paraId="781E3EA7" w14:textId="77777777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2D563576" w14:textId="2DDC510E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Employers unable to participate in scheme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F4DB6D3" w14:textId="77777777" w:rsidR="006D3DC4" w:rsidRPr="00B12C2C" w:rsidRDefault="006D3DC4" w:rsidP="00FA6F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Employer liabilities increase disproportionately as a result of changed member profiling</w:t>
            </w:r>
          </w:p>
          <w:p w14:paraId="436B9704" w14:textId="77777777" w:rsidR="006D3DC4" w:rsidRPr="00B12C2C" w:rsidRDefault="006D3DC4" w:rsidP="00FA6F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Employer liabilities increase disproportionately as a result of external factors (i.e. change in bond yields)</w:t>
            </w:r>
          </w:p>
          <w:p w14:paraId="118D508B" w14:textId="77777777" w:rsidR="006D3DC4" w:rsidRPr="00B12C2C" w:rsidRDefault="006D3DC4" w:rsidP="00FA6F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Reduced asset values in relation to liabilities due to external factors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7A109" w14:textId="77777777" w:rsidR="006D3DC4" w:rsidRPr="00B12C2C" w:rsidRDefault="006D3DC4" w:rsidP="00FA6F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Employers unable to maintain contributions</w:t>
            </w:r>
          </w:p>
          <w:p w14:paraId="3DC9CD7B" w14:textId="77777777" w:rsidR="006D3DC4" w:rsidRPr="00B12C2C" w:rsidRDefault="006D3DC4" w:rsidP="00FA6F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Employers exit from fund</w:t>
            </w:r>
          </w:p>
          <w:p w14:paraId="01DCC13A" w14:textId="77777777" w:rsidR="006D3DC4" w:rsidRPr="00B12C2C" w:rsidRDefault="006D3DC4" w:rsidP="00FA6F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Employer cannot meet 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liabilities on exit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0CED83DF" w14:textId="77777777" w:rsidR="006D3DC4" w:rsidRPr="00B12C2C" w:rsidRDefault="006D3DC4" w:rsidP="00FA6F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Inability to meet overall strategic objectives</w:t>
            </w:r>
          </w:p>
          <w:p w14:paraId="0EE8C587" w14:textId="77777777" w:rsidR="006D3DC4" w:rsidRPr="00B12C2C" w:rsidRDefault="006D3DC4" w:rsidP="00FA6F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loss to fund, triggering asset sales to meet pension payments</w:t>
            </w:r>
          </w:p>
          <w:p w14:paraId="12EE8967" w14:textId="77777777" w:rsidR="006D3DC4" w:rsidRPr="00B12C2C" w:rsidRDefault="006D3DC4" w:rsidP="00FA6F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Fund profile changed as a result of employer exit</w:t>
            </w:r>
          </w:p>
          <w:p w14:paraId="6419F5F1" w14:textId="77777777" w:rsidR="006D3DC4" w:rsidRPr="00B12C2C" w:rsidRDefault="006D3DC4" w:rsidP="00FA6F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Insolvency of employer</w:t>
            </w:r>
          </w:p>
          <w:p w14:paraId="52FD059D" w14:textId="77777777" w:rsidR="006D3DC4" w:rsidRPr="00B12C2C" w:rsidRDefault="006D3DC4" w:rsidP="00FA6FD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Recovery of liabilities in liquidation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5A3DD91" w14:textId="4F41AF0F" w:rsidR="006D3DC4" w:rsidRPr="00B12C2C" w:rsidRDefault="006D3DC4" w:rsidP="0007781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25E5B847" wp14:editId="5BA60AA2">
                  <wp:extent cx="852170" cy="869315"/>
                  <wp:effectExtent l="0" t="0" r="508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77EB7F56" w14:textId="763B0E18" w:rsidR="006D3DC4" w:rsidRPr="00B12C2C" w:rsidRDefault="006D3DC4" w:rsidP="0004692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Full Actuarial Valuation undertaken every 3 years (employers advised of liability)</w:t>
            </w:r>
          </w:p>
          <w:p w14:paraId="17871FD1" w14:textId="4BE2C90B" w:rsidR="006D3DC4" w:rsidRPr="00B12C2C" w:rsidRDefault="006D3DC4" w:rsidP="0004692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Funding Strategy enables exit at minimum risk.</w:t>
            </w:r>
          </w:p>
          <w:p w14:paraId="5647818A" w14:textId="0E75C4F9" w:rsidR="006D3DC4" w:rsidRPr="00B12C2C" w:rsidRDefault="006D3DC4" w:rsidP="0004692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Independent covenant and financial settlement assessment on affordability</w:t>
            </w:r>
          </w:p>
          <w:p w14:paraId="338F1282" w14:textId="57124C3D" w:rsidR="006D3DC4" w:rsidRPr="00B12C2C" w:rsidRDefault="006D3DC4" w:rsidP="0004692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Employer contribution payment flexibility within financial year (subject to agreement)</w:t>
            </w:r>
          </w:p>
          <w:p w14:paraId="74039A72" w14:textId="5807A1FD" w:rsidR="006D3DC4" w:rsidRPr="00B12C2C" w:rsidRDefault="006D3DC4" w:rsidP="0004692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Employer / fund communications and relationship management</w:t>
            </w:r>
          </w:p>
          <w:p w14:paraId="0F79A988" w14:textId="5E065245" w:rsidR="006D3DC4" w:rsidRPr="00B12C2C" w:rsidRDefault="006D3DC4" w:rsidP="00046926">
            <w:pPr>
              <w:pStyle w:val="ListParagraph"/>
              <w:spacing w:after="0" w:line="240" w:lineRule="auto"/>
              <w:ind w:left="360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0FC57E6" w14:textId="7E56EF79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682DFDC6" wp14:editId="476D88D8">
                  <wp:extent cx="852805" cy="893445"/>
                  <wp:effectExtent l="0" t="0" r="4445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4F98CEB6" w14:textId="192D28E0" w:rsidR="006D3DC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85D3E4" wp14:editId="06920544">
                  <wp:extent cx="818256" cy="857250"/>
                  <wp:effectExtent l="0" t="0" r="127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242" cy="861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FD2E12" w14:textId="09AA765A" w:rsidR="003439D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23E2AEB9" w14:textId="0FDD3C76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454CE" w14:textId="167EAAC0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Funding - Investment</w:t>
            </w:r>
          </w:p>
          <w:p w14:paraId="21862EBE" w14:textId="13F283E1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open)</w:t>
            </w:r>
          </w:p>
          <w:p w14:paraId="1B817B2B" w14:textId="77777777" w:rsidR="00330B63" w:rsidRPr="00B12C2C" w:rsidRDefault="00330B63" w:rsidP="00330B6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0FFBF929" w14:textId="3FD75194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Significant rises in employer contributions due to poor/negative investment returns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0924C65" w14:textId="77777777" w:rsidR="006D3DC4" w:rsidRPr="00B12C2C" w:rsidRDefault="006D3DC4" w:rsidP="00FA6FD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Poor economic conditions</w:t>
            </w:r>
          </w:p>
          <w:p w14:paraId="1789A8DE" w14:textId="77777777" w:rsidR="006D3DC4" w:rsidRPr="00B12C2C" w:rsidRDefault="006D3DC4" w:rsidP="00FA6FD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Inappropriate investment strategy </w:t>
            </w:r>
          </w:p>
          <w:p w14:paraId="17200EE3" w14:textId="77777777" w:rsidR="006D3DC4" w:rsidRPr="00B12C2C" w:rsidRDefault="006D3DC4" w:rsidP="00FA6FD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Poor selection / performance of investment managers 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7E3D2" w14:textId="77777777" w:rsidR="006D3DC4" w:rsidRPr="00B12C2C" w:rsidRDefault="006D3DC4" w:rsidP="00FA6FD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Financial impact as a result of poor/negative investment returns </w:t>
            </w:r>
          </w:p>
          <w:p w14:paraId="321BC276" w14:textId="77777777" w:rsidR="006D3DC4" w:rsidRPr="00B12C2C" w:rsidRDefault="006D3DC4" w:rsidP="00FA6FD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Revision of investment strategy required</w:t>
            </w:r>
          </w:p>
          <w:p w14:paraId="6DFFF42B" w14:textId="77777777" w:rsidR="006D3DC4" w:rsidRPr="00B12C2C" w:rsidRDefault="006D3DC4" w:rsidP="00FA6FD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Dismissal of investment managers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0F470485" w14:textId="77777777" w:rsidR="006D3DC4" w:rsidRPr="00B12C2C" w:rsidRDefault="006D3DC4" w:rsidP="00FA6FD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Inability to meet overall strategic objectives</w:t>
            </w:r>
          </w:p>
          <w:p w14:paraId="32850F33" w14:textId="77777777" w:rsidR="006D3DC4" w:rsidRPr="00B12C2C" w:rsidRDefault="006D3DC4" w:rsidP="00FA6FD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Reduced funding level</w:t>
            </w:r>
          </w:p>
          <w:p w14:paraId="35A4E9CD" w14:textId="77777777" w:rsidR="006D3DC4" w:rsidRPr="00B12C2C" w:rsidRDefault="006D3DC4" w:rsidP="00FA6FD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Increased contributions required</w:t>
            </w:r>
          </w:p>
          <w:p w14:paraId="12AA21E3" w14:textId="77777777" w:rsidR="006D3DC4" w:rsidRPr="00B12C2C" w:rsidRDefault="006D3DC4" w:rsidP="00FA6FD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Transaction costs on change of strategy or investment manager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45B5E8E4" w14:textId="0A77461B" w:rsidR="006D3DC4" w:rsidRPr="00B12C2C" w:rsidRDefault="006D3DC4" w:rsidP="00526A71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CC93993" wp14:editId="6EB285FB">
                  <wp:extent cx="852170" cy="846455"/>
                  <wp:effectExtent l="0" t="0" r="508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143C422" w14:textId="7D310CFB" w:rsidR="006D3DC4" w:rsidRPr="00B12C2C" w:rsidRDefault="006D3DC4" w:rsidP="009B5FE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Performance &amp; funding levels monitored on an ongoing quarterly basis </w:t>
            </w:r>
          </w:p>
          <w:p w14:paraId="0B2617BD" w14:textId="52F6546D" w:rsidR="006D3DC4" w:rsidRPr="00B12C2C" w:rsidRDefault="006D3DC4" w:rsidP="009B5FE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Investment &amp; Funding strategies reviewed and assessed independently</w:t>
            </w:r>
          </w:p>
          <w:p w14:paraId="73885397" w14:textId="77777777" w:rsidR="006D3DC4" w:rsidRPr="00B12C2C" w:rsidRDefault="006D3DC4" w:rsidP="009B5FE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Diversified range of investment managers over 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different asset classes</w:t>
            </w:r>
          </w:p>
          <w:p w14:paraId="717AE1FB" w14:textId="5DCBE1C8" w:rsidR="006D3DC4" w:rsidRPr="00B12C2C" w:rsidRDefault="006D3DC4" w:rsidP="009B5FE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10% asset shock reserve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06FC51EF" w14:textId="0E566438" w:rsidR="006D3DC4" w:rsidRPr="00B12C2C" w:rsidRDefault="007A3E02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234F6527" wp14:editId="37E85479">
                  <wp:extent cx="852170" cy="898525"/>
                  <wp:effectExtent l="0" t="0" r="5080" b="0"/>
                  <wp:docPr id="882246138" name="Picture 882246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4ED7026D" w14:textId="4C99AF60" w:rsidR="006D3DC4" w:rsidRPr="00B12C2C" w:rsidRDefault="00E327BA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E9DF60" wp14:editId="2D2B3620">
                  <wp:extent cx="852170" cy="898525"/>
                  <wp:effectExtent l="0" t="0" r="5080" b="0"/>
                  <wp:docPr id="1095024354" name="Picture 1095024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9AEF96" w14:textId="77777777" w:rsidR="003439D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5653F21" w14:textId="62F2056F" w:rsidR="00E327BA" w:rsidRPr="00B12C2C" w:rsidRDefault="007A3E02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78F466C5" w14:textId="08339AAD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54562" w14:textId="77777777" w:rsidR="004326E6" w:rsidRPr="00B12C2C" w:rsidRDefault="004326E6" w:rsidP="004326E6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Operational</w:t>
            </w:r>
          </w:p>
          <w:p w14:paraId="56F39605" w14:textId="77777777" w:rsidR="004326E6" w:rsidRPr="00B12C2C" w:rsidRDefault="004326E6" w:rsidP="004326E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5A4BDE08" w14:textId="77777777" w:rsidR="004326E6" w:rsidRPr="00B12C2C" w:rsidRDefault="004326E6" w:rsidP="004326E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4A55BDF5" w14:textId="17FCDA35" w:rsidR="006D3DC4" w:rsidRPr="00B12C2C" w:rsidRDefault="006D3DC4" w:rsidP="00D438F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of global custodian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665362C" w14:textId="77777777" w:rsidR="006D3DC4" w:rsidRPr="00B12C2C" w:rsidRDefault="006D3DC4" w:rsidP="00D438F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collapse of global custodian or failure to safeguard assets or records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C0B7B" w14:textId="77777777" w:rsidR="006D3DC4" w:rsidRPr="00B12C2C" w:rsidRDefault="006D3DC4" w:rsidP="00D438F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Financial loss to the fund. </w:t>
            </w:r>
          </w:p>
          <w:p w14:paraId="2BB12AD4" w14:textId="77777777" w:rsidR="006D3DC4" w:rsidRPr="00B12C2C" w:rsidRDefault="006D3DC4" w:rsidP="00D438F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information required for statutory and accounting purpose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46C4C2E2" w14:textId="77777777" w:rsidR="006D3DC4" w:rsidRPr="00B12C2C" w:rsidRDefault="006D3DC4" w:rsidP="00D438F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Inability to meet overall strategic objectives</w:t>
            </w:r>
          </w:p>
          <w:p w14:paraId="057536F7" w14:textId="77777777" w:rsidR="006D3DC4" w:rsidRPr="00B12C2C" w:rsidRDefault="006D3DC4" w:rsidP="00D438F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Severe service disruption as a result of recovery action </w:t>
            </w:r>
          </w:p>
          <w:p w14:paraId="7CCA538E" w14:textId="77777777" w:rsidR="006D3DC4" w:rsidRPr="00B12C2C" w:rsidRDefault="006D3DC4" w:rsidP="00D438F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Statutory breaches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3B20788" w14:textId="05C29162" w:rsidR="006D3DC4" w:rsidRPr="00B12C2C" w:rsidRDefault="006D3DC4" w:rsidP="0029337E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4FFF4C" wp14:editId="5C01BDE8">
                  <wp:extent cx="852170" cy="880745"/>
                  <wp:effectExtent l="0" t="0" r="508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AE8B96C" w14:textId="77777777" w:rsidR="006D3DC4" w:rsidRPr="00B12C2C" w:rsidRDefault="006D3DC4" w:rsidP="00D438F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Legal agreement with custodian. </w:t>
            </w:r>
          </w:p>
          <w:p w14:paraId="2D1E3B01" w14:textId="77777777" w:rsidR="006D3DC4" w:rsidRPr="00B12C2C" w:rsidRDefault="006D3DC4" w:rsidP="00D438F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Credit rating monitored on an ongoing basis. </w:t>
            </w:r>
          </w:p>
          <w:p w14:paraId="7BCA55E0" w14:textId="77777777" w:rsidR="006D3DC4" w:rsidRPr="00B12C2C" w:rsidRDefault="006D3DC4" w:rsidP="00D438F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Regulated by Financial Conduct Authority. </w:t>
            </w:r>
          </w:p>
          <w:p w14:paraId="30EB73B6" w14:textId="1C4D5B47" w:rsidR="006D3DC4" w:rsidRPr="00B12C2C" w:rsidRDefault="006D3DC4" w:rsidP="00D438F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Assets not on custodian balance sheet.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4D0EAC5" w14:textId="3BAEFDD0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4BFAFD" wp14:editId="54E8A15D">
                  <wp:extent cx="852805" cy="864235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8F6A809" w14:textId="2BAFC824" w:rsidR="006D3DC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9DE100" wp14:editId="6CB6493E">
                  <wp:extent cx="808316" cy="8191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336" cy="82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C18F7A" w14:textId="1B3DC4B3" w:rsidR="003439D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66E0D2FA" w14:textId="22AA10BE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2B7B4D" w14:textId="77777777" w:rsidR="002337E6" w:rsidRPr="00B12C2C" w:rsidRDefault="002337E6" w:rsidP="002337E6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Funding - Investment</w:t>
            </w:r>
          </w:p>
          <w:p w14:paraId="0E25FE96" w14:textId="77777777" w:rsidR="002337E6" w:rsidRPr="00B12C2C" w:rsidRDefault="002337E6" w:rsidP="002337E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open)</w:t>
            </w:r>
          </w:p>
          <w:p w14:paraId="5BD6EE3D" w14:textId="77777777" w:rsidR="002337E6" w:rsidRPr="00B12C2C" w:rsidRDefault="002337E6" w:rsidP="002337E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53177AE4" w14:textId="3EAF081C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of Investment Manager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46D26940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Substantial decline of global financial market </w:t>
            </w:r>
          </w:p>
          <w:p w14:paraId="111C8FB9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Economic factors impacting on asset class </w:t>
            </w:r>
          </w:p>
          <w:p w14:paraId="0FC26D06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Under performance of investment manager 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DD373A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loss to the fund</w:t>
            </w:r>
          </w:p>
          <w:p w14:paraId="319C80D1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Reduced asset returns</w:t>
            </w:r>
          </w:p>
          <w:p w14:paraId="5C06961C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Investment outflows from investment manager portfolio</w:t>
            </w:r>
          </w:p>
          <w:p w14:paraId="03B99541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Termination of mandate with investment manager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019F935E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Inability to meet overall strategic objectives</w:t>
            </w:r>
          </w:p>
          <w:p w14:paraId="61E52BD4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Reduced funding level</w:t>
            </w:r>
          </w:p>
          <w:p w14:paraId="2FCF4414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Increased employer contribution levels</w:t>
            </w:r>
          </w:p>
          <w:p w14:paraId="3D736CF6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Required appointment of alternative investment manager</w:t>
            </w:r>
          </w:p>
          <w:p w14:paraId="1027EDF7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Transaction costs associated with change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0039DA77" w14:textId="0F633495" w:rsidR="006D3DC4" w:rsidRPr="00B12C2C" w:rsidRDefault="006D3DC4" w:rsidP="00FD0130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E4E0E3" wp14:editId="46945D79">
                  <wp:extent cx="852170" cy="863600"/>
                  <wp:effectExtent l="0" t="0" r="508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3A548406" w14:textId="77777777" w:rsidR="006D3DC4" w:rsidRPr="00B12C2C" w:rsidRDefault="006D3DC4" w:rsidP="002A21D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Performance monitored on an ongoing quarterly basis. </w:t>
            </w:r>
          </w:p>
          <w:p w14:paraId="57599AB1" w14:textId="77777777" w:rsidR="006D3DC4" w:rsidRPr="00B12C2C" w:rsidRDefault="006D3DC4" w:rsidP="002A21D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Diversified range of asset classes. </w:t>
            </w:r>
          </w:p>
          <w:p w14:paraId="7320E4D8" w14:textId="23906134" w:rsidR="006D3DC4" w:rsidRPr="00B12C2C" w:rsidRDefault="006D3DC4" w:rsidP="002A21D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Advice provided by Investment Consultant.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3F6478F2" w14:textId="3F1962D6" w:rsidR="006D3DC4" w:rsidRPr="00B12C2C" w:rsidRDefault="00CD540B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F18A73" wp14:editId="0C594E66">
                  <wp:extent cx="790575" cy="82678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13" cy="82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BD1458B" w14:textId="77777777" w:rsidR="006D3DC4" w:rsidRPr="00B12C2C" w:rsidRDefault="00B055DB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4D6B94" wp14:editId="74E3C1AC">
                  <wp:extent cx="790575" cy="826780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13" cy="82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0FF32" w14:textId="4681858A" w:rsidR="00CD540B" w:rsidRPr="00B12C2C" w:rsidRDefault="00CD540B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1B659AE9" w14:textId="4B5B0784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EBABE5" w14:textId="77777777" w:rsidR="00301AFF" w:rsidRPr="00B12C2C" w:rsidRDefault="00301AFF" w:rsidP="00301AFF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lastRenderedPageBreak/>
              <w:t>Funding - Investment</w:t>
            </w:r>
          </w:p>
          <w:p w14:paraId="342E62FC" w14:textId="77777777" w:rsidR="00301AFF" w:rsidRPr="00B12C2C" w:rsidRDefault="00301AFF" w:rsidP="00301AFF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open)</w:t>
            </w:r>
          </w:p>
          <w:p w14:paraId="68D9185F" w14:textId="77777777" w:rsidR="00301AFF" w:rsidRPr="00B12C2C" w:rsidRDefault="00301AFF" w:rsidP="00301AFF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5A0AAE24" w14:textId="1BAA21A3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Equity Risk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6C77571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Market sector falls substantially as a result of global economic factors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14C24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Financial loss to the fund 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002BD9F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Inability to meet overall strategic objectives</w:t>
            </w:r>
          </w:p>
          <w:p w14:paraId="24314D9D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Reduced funding level</w:t>
            </w:r>
          </w:p>
          <w:p w14:paraId="127B3324" w14:textId="77777777" w:rsidR="006D3DC4" w:rsidRPr="00B12C2C" w:rsidRDefault="006D3DC4" w:rsidP="00FA6FD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Increased employer contribution levels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059CD124" w14:textId="56BF5CC0" w:rsidR="006D3DC4" w:rsidRPr="00B12C2C" w:rsidRDefault="006D3DC4" w:rsidP="00A31909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561196" wp14:editId="2EED672F">
                  <wp:extent cx="852170" cy="869315"/>
                  <wp:effectExtent l="0" t="0" r="5080" b="69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47A0EE8" w14:textId="77777777" w:rsidR="006D3DC4" w:rsidRPr="00B12C2C" w:rsidRDefault="006D3DC4" w:rsidP="00FF0A4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Performance monitored on an ongoing quarterly basis. </w:t>
            </w:r>
          </w:p>
          <w:p w14:paraId="299A8B96" w14:textId="6C370077" w:rsidR="006D3DC4" w:rsidRPr="00B12C2C" w:rsidRDefault="006D3DC4" w:rsidP="00FF0A4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Investment strategy with diversified range of asset classes and </w:t>
            </w:r>
            <w:r w:rsidR="006E0483"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long-term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 investment objectives.</w:t>
            </w:r>
          </w:p>
          <w:p w14:paraId="07552AF7" w14:textId="77777777" w:rsidR="006D3DC4" w:rsidRPr="00B12C2C" w:rsidRDefault="006D3DC4" w:rsidP="00FF0A4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Advice provided by Investment Consultant.</w:t>
            </w:r>
          </w:p>
          <w:p w14:paraId="331490E0" w14:textId="77777777" w:rsidR="006D3DC4" w:rsidRPr="00B12C2C" w:rsidRDefault="006D3DC4" w:rsidP="00FF0A4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Fund officers remain in close communications with investment managers</w:t>
            </w:r>
          </w:p>
          <w:p w14:paraId="7BEE4DFF" w14:textId="5DE8F559" w:rsidR="006D3DC4" w:rsidRPr="00B12C2C" w:rsidRDefault="006D3DC4" w:rsidP="00FF0A4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10% volatility reserve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3D7F44AE" w14:textId="61356937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9124356" wp14:editId="2CAE2AB6">
                  <wp:extent cx="852805" cy="876300"/>
                  <wp:effectExtent l="0" t="0" r="444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E73E627" w14:textId="1C1D1171" w:rsidR="006D3DC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32EB8D" wp14:editId="20F4480A">
                  <wp:extent cx="806457" cy="82867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69" cy="83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C64B4" w14:textId="551EDD4F" w:rsidR="003439D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  <w:p w14:paraId="7E3C3196" w14:textId="4B07DCBF" w:rsidR="003439D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D3DC4" w:rsidRPr="00B12C2C" w14:paraId="6F7BFBA1" w14:textId="66473124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22D47" w14:textId="64E97C94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Governance</w:t>
            </w:r>
          </w:p>
          <w:p w14:paraId="202FC7F3" w14:textId="09C447E9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37AF6E05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23F4A447" w14:textId="5E45D2A8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to comply with changes to LGPS regulations and other new regulations / legislation</w:t>
            </w:r>
          </w:p>
          <w:p w14:paraId="7B4F0424" w14:textId="77777777" w:rsidR="006D3DC4" w:rsidRPr="00B12C2C" w:rsidRDefault="006D3DC4" w:rsidP="00FF77D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215EDCCE" w14:textId="77777777" w:rsidR="006D3DC4" w:rsidRPr="00B12C2C" w:rsidRDefault="006D3DC4" w:rsidP="00FF77D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Specifically:</w:t>
            </w:r>
          </w:p>
          <w:p w14:paraId="4F498AE6" w14:textId="77777777" w:rsidR="006D3DC4" w:rsidRPr="00B12C2C" w:rsidRDefault="006D3DC4" w:rsidP="00FA6FD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GMP</w:t>
            </w:r>
          </w:p>
          <w:p w14:paraId="53627F02" w14:textId="77777777" w:rsidR="006D3DC4" w:rsidRPr="00B12C2C" w:rsidRDefault="006D3DC4" w:rsidP="00FA6FD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McCloud</w:t>
            </w:r>
          </w:p>
          <w:p w14:paraId="04AF4752" w14:textId="77777777" w:rsidR="006D3DC4" w:rsidRPr="00B12C2C" w:rsidRDefault="006D3DC4" w:rsidP="00FA6FD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Pensions Dashboard</w:t>
            </w:r>
          </w:p>
          <w:p w14:paraId="534FD53A" w14:textId="77777777" w:rsidR="006D3DC4" w:rsidRPr="00B12C2C" w:rsidRDefault="006D3DC4" w:rsidP="00FF77D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38B3F401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Significant changes to scheme &amp; regulations which staff are unfamiliar with</w:t>
            </w:r>
          </w:p>
          <w:p w14:paraId="6AA48D59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in readiness for changes</w:t>
            </w:r>
          </w:p>
          <w:p w14:paraId="45CF7802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Lack of technical expertise / training</w:t>
            </w:r>
          </w:p>
          <w:p w14:paraId="433BB50D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Inadequate procedures / process</w:t>
            </w:r>
          </w:p>
          <w:p w14:paraId="649D82C5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Lack of resources </w:t>
            </w:r>
          </w:p>
          <w:p w14:paraId="09AEB19C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Error in interpreting requirements</w:t>
            </w:r>
          </w:p>
          <w:p w14:paraId="0DE072AF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IT systems not updated to reflect changed requirements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C6236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Incorrect calculations</w:t>
            </w:r>
          </w:p>
          <w:p w14:paraId="6870AC1F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Delays in processing</w:t>
            </w:r>
          </w:p>
          <w:p w14:paraId="458820DD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Statutory breaches</w:t>
            </w:r>
          </w:p>
          <w:p w14:paraId="1261A4F1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Reputational risk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47015F2F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Financial implications for members. </w:t>
            </w:r>
          </w:p>
          <w:p w14:paraId="1AAD594E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confidence.</w:t>
            </w:r>
          </w:p>
          <w:p w14:paraId="0747C6E7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cost to the fund if interest has to be paid to members.</w:t>
            </w:r>
          </w:p>
          <w:p w14:paraId="67A63CEB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Regulatory action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3C41FAD0" w14:textId="18798B97" w:rsidR="006D3DC4" w:rsidRPr="00B12C2C" w:rsidRDefault="006D3DC4" w:rsidP="00C14C99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ECCB8B" wp14:editId="5C494300">
                  <wp:extent cx="852170" cy="869315"/>
                  <wp:effectExtent l="0" t="0" r="5080" b="698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6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3ED86353" w14:textId="77777777" w:rsidR="006D3DC4" w:rsidRPr="00B12C2C" w:rsidRDefault="006D3DC4" w:rsidP="000D63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Verification process in place within Pensions section</w:t>
            </w:r>
          </w:p>
          <w:p w14:paraId="0907E905" w14:textId="77777777" w:rsidR="006D3DC4" w:rsidRPr="00B12C2C" w:rsidRDefault="006D3DC4" w:rsidP="000D63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Staff training</w:t>
            </w:r>
          </w:p>
          <w:p w14:paraId="3FB0E7E7" w14:textId="77777777" w:rsidR="006D3DC4" w:rsidRPr="00B12C2C" w:rsidRDefault="006D3DC4" w:rsidP="000D63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Audited key processes reviewed prior to significant changes</w:t>
            </w:r>
          </w:p>
          <w:p w14:paraId="468E1425" w14:textId="77777777" w:rsidR="006D3DC4" w:rsidRPr="00B12C2C" w:rsidRDefault="006D3DC4" w:rsidP="000D63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Recruitment exercises as required</w:t>
            </w:r>
          </w:p>
          <w:p w14:paraId="17E5DC1C" w14:textId="77777777" w:rsidR="006D3DC4" w:rsidRPr="00B12C2C" w:rsidRDefault="006D3DC4" w:rsidP="000D63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Robust system maintenance &amp; upgrade</w:t>
            </w:r>
          </w:p>
          <w:p w14:paraId="52C3671B" w14:textId="77777777" w:rsidR="006D3DC4" w:rsidRPr="00B12C2C" w:rsidRDefault="006D3DC4" w:rsidP="000D63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Specialist advice used as required to ensure correct interpretation</w:t>
            </w:r>
          </w:p>
          <w:p w14:paraId="46862CCD" w14:textId="77777777" w:rsidR="006D3DC4" w:rsidRPr="00B12C2C" w:rsidRDefault="006D3DC4" w:rsidP="000D63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Performance monitoring</w:t>
            </w:r>
          </w:p>
          <w:p w14:paraId="4352645F" w14:textId="70711CB0" w:rsidR="006D3DC4" w:rsidRPr="00B12C2C" w:rsidRDefault="006D3DC4" w:rsidP="000D63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Project management for implementation of key changes / exercises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366AC4F6" w14:textId="30748ADE" w:rsidR="006D3DC4" w:rsidRPr="00B12C2C" w:rsidRDefault="0080645C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0200261E" wp14:editId="5AC2FA9A">
                  <wp:extent cx="755650" cy="735394"/>
                  <wp:effectExtent l="0" t="0" r="6350" b="762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10" cy="73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7D297DC3" w14:textId="77777777" w:rsidR="003439D4" w:rsidRPr="00B12C2C" w:rsidRDefault="00FC079D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5E5C8D" wp14:editId="72E2884D">
                  <wp:extent cx="755650" cy="735394"/>
                  <wp:effectExtent l="0" t="0" r="6350" b="762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10" cy="73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371E5" w14:textId="77777777" w:rsidR="0080645C" w:rsidRDefault="0080645C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  <w:p w14:paraId="64D3C867" w14:textId="77777777" w:rsidR="0082212A" w:rsidRDefault="0082212A" w:rsidP="0082212A">
            <w:pPr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65767363" w14:textId="77777777" w:rsidR="0082212A" w:rsidRDefault="0082212A" w:rsidP="0082212A">
            <w:pPr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7BE779D0" w14:textId="77777777" w:rsidR="0082212A" w:rsidRDefault="0082212A" w:rsidP="0082212A">
            <w:pPr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7B859E23" w14:textId="77777777" w:rsidR="0082212A" w:rsidRDefault="0082212A" w:rsidP="0082212A">
            <w:pPr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54351069" w14:textId="544A5874" w:rsidR="0082212A" w:rsidRPr="0082212A" w:rsidRDefault="0082212A" w:rsidP="008221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DC4" w:rsidRPr="00B12C2C" w14:paraId="507432AA" w14:textId="12C38049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3E9BB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Governance</w:t>
            </w:r>
          </w:p>
          <w:p w14:paraId="01EA68E7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2CD14C70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02713DC9" w14:textId="43FF1B90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to comply with governance best practice</w:t>
            </w:r>
          </w:p>
          <w:p w14:paraId="4D5C09E2" w14:textId="77777777" w:rsidR="006D3DC4" w:rsidRPr="00B12C2C" w:rsidRDefault="006D3DC4" w:rsidP="00FF77D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5EF3EFFB" w14:textId="77777777" w:rsidR="006D3DC4" w:rsidRPr="00B12C2C" w:rsidRDefault="006D3DC4" w:rsidP="00FF77D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Specifically:</w:t>
            </w:r>
          </w:p>
          <w:p w14:paraId="4F4A4899" w14:textId="77777777" w:rsidR="006D3DC4" w:rsidRPr="00B12C2C" w:rsidRDefault="006D3DC4" w:rsidP="00FF77D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6FCFFC4E" w14:textId="77777777" w:rsidR="006D3DC4" w:rsidRPr="00B12C2C" w:rsidRDefault="006D3DC4" w:rsidP="00FA6F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TPR New Draft Code of Practice</w:t>
            </w:r>
          </w:p>
          <w:p w14:paraId="190F3DAA" w14:textId="77777777" w:rsidR="006D3DC4" w:rsidRPr="00B12C2C" w:rsidRDefault="006D3DC4" w:rsidP="00FA6FD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TPR Good Governance project outcomes 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78BD6A03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to implement requirements</w:t>
            </w:r>
          </w:p>
          <w:p w14:paraId="1598EB54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Inadequate processes / procedures</w:t>
            </w:r>
          </w:p>
          <w:p w14:paraId="2688C145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Inadequate training as to changed requirements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B400B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Breach of statutory requirements</w:t>
            </w:r>
          </w:p>
          <w:p w14:paraId="1884C6E2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Sub-standard service to members and employers</w:t>
            </w:r>
          </w:p>
          <w:p w14:paraId="38CE7A42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Reputational risk for the Fund </w:t>
            </w:r>
          </w:p>
          <w:p w14:paraId="64350B9E" w14:textId="77777777" w:rsidR="006D3DC4" w:rsidRPr="00B12C2C" w:rsidRDefault="006D3DC4" w:rsidP="00FF77D6">
            <w:pPr>
              <w:pStyle w:val="ListParagraph"/>
              <w:spacing w:after="0" w:line="240" w:lineRule="auto"/>
              <w:ind w:left="360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620B9DD7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Regulatory action</w:t>
            </w:r>
          </w:p>
          <w:p w14:paraId="72B31B17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</w:t>
            </w:r>
          </w:p>
          <w:p w14:paraId="5C234753" w14:textId="77777777" w:rsidR="006D3DC4" w:rsidRPr="00B12C2C" w:rsidRDefault="006D3DC4" w:rsidP="00FF77D6">
            <w:pPr>
              <w:pStyle w:val="ListParagraph"/>
              <w:spacing w:after="0" w:line="240" w:lineRule="auto"/>
              <w:ind w:left="360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0CBBED2A" w14:textId="4504E39F" w:rsidR="006D3DC4" w:rsidRPr="00B12C2C" w:rsidRDefault="006D3DC4" w:rsidP="00A9481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9D184F" wp14:editId="10BA8ED4">
                  <wp:extent cx="852170" cy="840740"/>
                  <wp:effectExtent l="0" t="0" r="508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4B55C2AB" w14:textId="1C99AB6D" w:rsidR="006D3DC4" w:rsidRPr="00B12C2C" w:rsidRDefault="006D3DC4" w:rsidP="001A0E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Staff training</w:t>
            </w:r>
          </w:p>
          <w:p w14:paraId="3419E8B9" w14:textId="77777777" w:rsidR="006D3DC4" w:rsidRPr="00B12C2C" w:rsidRDefault="006D3DC4" w:rsidP="001A0E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Audited key processes reviewed prior to significant changes</w:t>
            </w:r>
          </w:p>
          <w:p w14:paraId="45637720" w14:textId="52666AAB" w:rsidR="006D3DC4" w:rsidRPr="00B12C2C" w:rsidRDefault="006D3DC4" w:rsidP="001A0E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Specialist review and advice 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23216118" w14:textId="39437EB4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609807" wp14:editId="2DB5402D">
                  <wp:extent cx="852805" cy="829945"/>
                  <wp:effectExtent l="0" t="0" r="4445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0BE3AAFE" w14:textId="369ABC80" w:rsidR="006D3DC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3E572F" wp14:editId="17A39A5E">
                  <wp:extent cx="852805" cy="829945"/>
                  <wp:effectExtent l="0" t="0" r="4445" b="825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1D38D3" w14:textId="2B51C102" w:rsidR="003439D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1FB61851" w14:textId="0919DB5C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4A236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Pension Administration</w:t>
            </w:r>
          </w:p>
          <w:p w14:paraId="704FED19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79AFE160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14C872BC" w14:textId="03CA0F0C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to provide quality service to members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68E65B01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Inadequate administration &amp; communication policies</w:t>
            </w:r>
          </w:p>
          <w:p w14:paraId="683E24DB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Lack of resources</w:t>
            </w:r>
          </w:p>
          <w:p w14:paraId="3318CA30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 xml:space="preserve">Lack of staff skills / knowledge </w:t>
            </w:r>
          </w:p>
          <w:p w14:paraId="59116B1A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Lack of training</w:t>
            </w:r>
          </w:p>
          <w:p w14:paraId="0C46B238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Ineffective processes &amp; procedures</w:t>
            </w:r>
          </w:p>
          <w:p w14:paraId="0F2FC5CB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Poor communication documentation</w:t>
            </w:r>
          </w:p>
          <w:p w14:paraId="36C3C01C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Unanticipated workloads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DB0F7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 xml:space="preserve">Reputational risk for the Fund </w:t>
            </w:r>
          </w:p>
          <w:p w14:paraId="386AAF73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Processing delays &amp; errors</w:t>
            </w:r>
          </w:p>
          <w:p w14:paraId="6FD99FB3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Late payments</w:t>
            </w:r>
          </w:p>
          <w:p w14:paraId="0AD07677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Sub-optimal decision making</w:t>
            </w:r>
          </w:p>
          <w:p w14:paraId="7A5D5E03" w14:textId="77777777" w:rsidR="006D3DC4" w:rsidRPr="00B12C2C" w:rsidRDefault="006D3DC4" w:rsidP="00FA6FD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Reputational risk for the Fund </w:t>
            </w:r>
          </w:p>
          <w:p w14:paraId="6AEC8E6D" w14:textId="77777777" w:rsidR="006D3DC4" w:rsidRPr="00B12C2C" w:rsidRDefault="006D3DC4" w:rsidP="00FF77D6">
            <w:pPr>
              <w:pStyle w:val="ListParagraph"/>
              <w:spacing w:after="0" w:line="240" w:lineRule="auto"/>
              <w:ind w:left="360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1020D6D3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Financial implications to members</w:t>
            </w:r>
          </w:p>
          <w:p w14:paraId="56DE0D6E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54408DD9" w14:textId="0CD5B667" w:rsidR="006D3DC4" w:rsidRPr="00B12C2C" w:rsidRDefault="006D3DC4" w:rsidP="003D4145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C34D1B" wp14:editId="4871EDC8">
                  <wp:extent cx="852170" cy="868680"/>
                  <wp:effectExtent l="0" t="0" r="508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32099805" w14:textId="77777777" w:rsidR="006D3DC4" w:rsidRPr="00B12C2C" w:rsidRDefault="006D3DC4" w:rsidP="00F464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Key policies reviewed and updated annually or sooner if required</w:t>
            </w:r>
          </w:p>
          <w:p w14:paraId="302FD633" w14:textId="77777777" w:rsidR="006D3DC4" w:rsidRPr="00B12C2C" w:rsidRDefault="006D3DC4" w:rsidP="00F464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Recruitment exercises as required in 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keeping with statutory requirements</w:t>
            </w:r>
          </w:p>
          <w:p w14:paraId="7EEA2007" w14:textId="77777777" w:rsidR="006D3DC4" w:rsidRPr="00B12C2C" w:rsidRDefault="006D3DC4" w:rsidP="00F464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Ongoing staff training and support</w:t>
            </w:r>
          </w:p>
          <w:p w14:paraId="0F26CE0A" w14:textId="77777777" w:rsidR="006D3DC4" w:rsidRPr="00B12C2C" w:rsidRDefault="006D3DC4" w:rsidP="00F464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Key processes audited and reviewed annually </w:t>
            </w:r>
          </w:p>
          <w:p w14:paraId="5EB54FEB" w14:textId="77777777" w:rsidR="006D3DC4" w:rsidRPr="00B12C2C" w:rsidRDefault="006D3DC4" w:rsidP="00F464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Communication / documentation reviewed regularly and updated </w:t>
            </w:r>
          </w:p>
          <w:p w14:paraId="3F3E8654" w14:textId="192D5D69" w:rsidR="006D3DC4" w:rsidRPr="00B12C2C" w:rsidRDefault="006D3DC4" w:rsidP="00F464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Weekly work allocation to prioritise and avoid bottlenecks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7924BAC4" w14:textId="2C9DFDC1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441CB180" wp14:editId="1BD253EB">
                  <wp:extent cx="852805" cy="893445"/>
                  <wp:effectExtent l="0" t="0" r="4445" b="190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</w:tcPr>
          <w:p w14:paraId="3DA3AB84" w14:textId="60C3E170" w:rsidR="006D3DC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AC60B9" wp14:editId="2FC38DA3">
                  <wp:extent cx="829166" cy="868680"/>
                  <wp:effectExtent l="0" t="0" r="9525" b="762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765" cy="87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0110B1" w14:textId="7864AA49" w:rsidR="003439D4" w:rsidRPr="00B12C2C" w:rsidRDefault="003439D4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6BA79C37" w14:textId="03EA3FF4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8A541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Operational</w:t>
            </w:r>
          </w:p>
          <w:p w14:paraId="2B48A72D" w14:textId="1D4226DE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0DD9CAFF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27CFAFB9" w14:textId="77777777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Failure to hold personal data securely 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5950CF1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Insufficient system abilities re security of data </w:t>
            </w:r>
          </w:p>
          <w:p w14:paraId="221E775C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Sub-standard retention processes &amp; procedures</w:t>
            </w:r>
          </w:p>
          <w:p w14:paraId="05D5B6ED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Inadequate data retention policy, backup and recovery procedures</w:t>
            </w:r>
          </w:p>
          <w:p w14:paraId="72D765E8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Change of retention requirements</w:t>
            </w:r>
          </w:p>
          <w:p w14:paraId="4C6D5DE1" w14:textId="77777777" w:rsidR="006D3DC4" w:rsidRPr="00B12C2C" w:rsidRDefault="006D3DC4" w:rsidP="00FF77D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77075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 xml:space="preserve">Data lost or compromised </w:t>
            </w:r>
          </w:p>
          <w:p w14:paraId="0A620BAE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Incorrect member records</w:t>
            </w:r>
          </w:p>
          <w:p w14:paraId="6E66B726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Processing delays &amp; errors</w:t>
            </w:r>
          </w:p>
          <w:p w14:paraId="758D1BB2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Retiring staff will be paid late </w:t>
            </w:r>
          </w:p>
          <w:p w14:paraId="416C7546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Reputational risk for the Fund </w:t>
            </w:r>
          </w:p>
          <w:p w14:paraId="78DBD0C6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Breach of statutory 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 xml:space="preserve">requirements 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ab/>
            </w:r>
          </w:p>
          <w:p w14:paraId="23E52DAC" w14:textId="77777777" w:rsidR="006D3DC4" w:rsidRPr="00B12C2C" w:rsidRDefault="006D3DC4" w:rsidP="00FF77D6">
            <w:pPr>
              <w:pStyle w:val="ListParagraph"/>
              <w:spacing w:after="0" w:line="240" w:lineRule="auto"/>
              <w:ind w:left="360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2A15EF23" w14:textId="77777777" w:rsidR="006D3DC4" w:rsidRPr="00B12C2C" w:rsidRDefault="006D3DC4" w:rsidP="00FF77D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683C86A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Financial impact to members</w:t>
            </w:r>
          </w:p>
          <w:p w14:paraId="28AC54EA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confidence.</w:t>
            </w:r>
          </w:p>
          <w:p w14:paraId="764256A4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cost to the fund if interest has to be paid to members.</w:t>
            </w:r>
          </w:p>
          <w:p w14:paraId="6A02D646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Regulatory action</w:t>
            </w:r>
          </w:p>
          <w:p w14:paraId="09E32FA6" w14:textId="77777777" w:rsidR="006D3DC4" w:rsidRPr="00B12C2C" w:rsidRDefault="006D3DC4" w:rsidP="00FF77D6">
            <w:pPr>
              <w:pStyle w:val="ListParagraph"/>
              <w:spacing w:after="0" w:line="240" w:lineRule="auto"/>
              <w:ind w:left="360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36ED83B6" w14:textId="0CD1C015" w:rsidR="006D3DC4" w:rsidRPr="00B12C2C" w:rsidRDefault="006D3DC4" w:rsidP="00FF77D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C29A14" wp14:editId="759DD0CC">
                  <wp:extent cx="852170" cy="863600"/>
                  <wp:effectExtent l="0" t="0" r="508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EE5663B" w14:textId="2B973F9C" w:rsidR="006D3DC4" w:rsidRPr="00B12C2C" w:rsidRDefault="006D3DC4" w:rsidP="00DD700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Data security system settings &amp; controls</w:t>
            </w:r>
          </w:p>
          <w:p w14:paraId="058474A8" w14:textId="3C31B2E1" w:rsidR="006D3DC4" w:rsidRPr="00B12C2C" w:rsidRDefault="006D3DC4" w:rsidP="00DD700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Data retention policy &amp; processes / back up &amp; recovery procedures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435BA4C5" w14:textId="4F8A149A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452964" wp14:editId="1B51CC2E">
                  <wp:extent cx="852805" cy="829945"/>
                  <wp:effectExtent l="0" t="0" r="4445" b="825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365D5BFB" w14:textId="0436CBED" w:rsidR="006D3DC4" w:rsidRPr="00B12C2C" w:rsidRDefault="00421FCB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39F766" wp14:editId="1149405D">
                  <wp:extent cx="822138" cy="8001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231" cy="80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42B76" w14:textId="04FD7893" w:rsidR="00431650" w:rsidRPr="00B12C2C" w:rsidRDefault="00421FCB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6CD479E1" w14:textId="51243412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4D62E3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Operational</w:t>
            </w:r>
          </w:p>
          <w:p w14:paraId="6ED79EE4" w14:textId="60F7778E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10B25DA1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1820CA91" w14:textId="77777777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Cybercrime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3D07D566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Inadequate system abilities re security of data </w:t>
            </w:r>
          </w:p>
          <w:p w14:paraId="709270C9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Inadequate controls and security protocol 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FDBAD8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Data lost or compromised </w:t>
            </w:r>
          </w:p>
          <w:p w14:paraId="6CF5B2A1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Incorrect member records</w:t>
            </w:r>
          </w:p>
          <w:p w14:paraId="28D2B33D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Processing delays &amp; errors</w:t>
            </w:r>
          </w:p>
          <w:p w14:paraId="3633029A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Retiring staff will be paid late </w:t>
            </w:r>
          </w:p>
          <w:p w14:paraId="5DF7A6CF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Reputational risk for the Fund </w:t>
            </w:r>
          </w:p>
          <w:p w14:paraId="00C73D60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Breach of statutory requirements 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ab/>
            </w:r>
          </w:p>
          <w:p w14:paraId="768A4E1C" w14:textId="77777777" w:rsidR="006D3DC4" w:rsidRPr="00B12C2C" w:rsidRDefault="006D3DC4" w:rsidP="00FF77D6">
            <w:pPr>
              <w:pStyle w:val="ListParagraph"/>
              <w:spacing w:after="0" w:line="240" w:lineRule="auto"/>
              <w:ind w:left="360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32E377E4" w14:textId="77777777" w:rsidR="006D3DC4" w:rsidRPr="00B12C2C" w:rsidRDefault="006D3DC4" w:rsidP="00FF77D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B7B449C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impact to members</w:t>
            </w:r>
          </w:p>
          <w:p w14:paraId="23040C42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confidence.</w:t>
            </w:r>
          </w:p>
          <w:p w14:paraId="6D5715EB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cost to the fund if interest has to be paid to members.</w:t>
            </w:r>
          </w:p>
          <w:p w14:paraId="40F0BF53" w14:textId="77777777" w:rsidR="006D3DC4" w:rsidRPr="00B12C2C" w:rsidRDefault="006D3DC4" w:rsidP="00FA6FD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Regulatory action</w:t>
            </w:r>
          </w:p>
          <w:p w14:paraId="6EE89CCE" w14:textId="77777777" w:rsidR="006D3DC4" w:rsidRPr="00B12C2C" w:rsidRDefault="006D3DC4" w:rsidP="00FF77D6">
            <w:pPr>
              <w:pStyle w:val="ListParagraph"/>
              <w:spacing w:after="0" w:line="240" w:lineRule="auto"/>
              <w:ind w:left="360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3107802" w14:textId="63AA2C0C" w:rsidR="006D3DC4" w:rsidRPr="00B12C2C" w:rsidRDefault="006D3DC4" w:rsidP="00014CF1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68B1B6" wp14:editId="5576556E">
                  <wp:extent cx="852170" cy="863600"/>
                  <wp:effectExtent l="0" t="0" r="508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35753424" w14:textId="77777777" w:rsidR="006D3DC4" w:rsidRPr="00B12C2C" w:rsidRDefault="006D3DC4" w:rsidP="00014CF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Data security system settings &amp; controls</w:t>
            </w:r>
          </w:p>
          <w:p w14:paraId="416CA4E8" w14:textId="0FA2D251" w:rsidR="006D3DC4" w:rsidRPr="00B12C2C" w:rsidRDefault="006D3DC4" w:rsidP="00014CF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Data back-up &amp; recovery procedures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95DDD12" w14:textId="2C12B516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B9E58E" wp14:editId="4AA86D40">
                  <wp:extent cx="852805" cy="829945"/>
                  <wp:effectExtent l="0" t="0" r="4445" b="825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26D781E" w14:textId="5AC78F3F" w:rsidR="006D3DC4" w:rsidRPr="00B12C2C" w:rsidRDefault="00421FCB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CF43DF" wp14:editId="5CAA4B7F">
                  <wp:extent cx="852806" cy="829945"/>
                  <wp:effectExtent l="0" t="0" r="4445" b="825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412" cy="83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E6716" w14:textId="10FD26D6" w:rsidR="00421FCB" w:rsidRPr="00B12C2C" w:rsidRDefault="00421FCB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586848B6" w14:textId="78F59AF2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7A34FA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Pension Administration</w:t>
            </w:r>
          </w:p>
          <w:p w14:paraId="6B4F1496" w14:textId="53D5C06B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4A43ACE6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2E548E12" w14:textId="77777777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to keep pension records up-to-date and accurate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7CDB2094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Non-availability of pension / payroll systems</w:t>
            </w:r>
          </w:p>
          <w:p w14:paraId="7D7DB803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Resource unavailable</w:t>
            </w:r>
          </w:p>
          <w:p w14:paraId="5B093ACE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New staff undertaking duties</w:t>
            </w:r>
          </w:p>
          <w:p w14:paraId="0C21EA73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Increased workload</w:t>
            </w:r>
          </w:p>
          <w:p w14:paraId="0C2BE9B0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Failure to gain relevant information 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from employers to enable processing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0C95A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Processing delays</w:t>
            </w:r>
          </w:p>
          <w:p w14:paraId="18292EF4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Processing errors</w:t>
            </w:r>
          </w:p>
          <w:p w14:paraId="7EFB1563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Retiring members will be paid late </w:t>
            </w:r>
          </w:p>
          <w:p w14:paraId="01707380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Reputational risk for the Fund </w:t>
            </w:r>
          </w:p>
          <w:p w14:paraId="520BA4C7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Breach of statutory requirements 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3BD57BD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implications for members</w:t>
            </w:r>
          </w:p>
          <w:p w14:paraId="31DBACC0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</w:t>
            </w:r>
          </w:p>
          <w:p w14:paraId="537F1957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cost to the fund if interest has to be paid to members</w:t>
            </w:r>
          </w:p>
          <w:p w14:paraId="4DFC0568" w14:textId="77777777" w:rsidR="006D3DC4" w:rsidRPr="00B12C2C" w:rsidRDefault="006D3DC4" w:rsidP="00FA6FD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Regulatory action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7873B38" w14:textId="0FDF213D" w:rsidR="006D3DC4" w:rsidRPr="00B12C2C" w:rsidRDefault="006D3DC4" w:rsidP="006C55D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0AE0D9" wp14:editId="0260CDD0">
                  <wp:extent cx="852170" cy="829945"/>
                  <wp:effectExtent l="0" t="0" r="5080" b="825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348B7E2" w14:textId="77777777" w:rsidR="006D3DC4" w:rsidRPr="00B12C2C" w:rsidRDefault="006D3DC4" w:rsidP="006C55D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System contingency / recovery prioritised</w:t>
            </w:r>
          </w:p>
          <w:p w14:paraId="1F6C0842" w14:textId="77777777" w:rsidR="006D3DC4" w:rsidRPr="00B12C2C" w:rsidRDefault="006D3DC4" w:rsidP="006C55D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Service prioritisation / allocation</w:t>
            </w:r>
          </w:p>
          <w:p w14:paraId="3D200A45" w14:textId="77777777" w:rsidR="006D3DC4" w:rsidRPr="00B12C2C" w:rsidRDefault="006D3DC4" w:rsidP="006C55D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Staff training</w:t>
            </w:r>
          </w:p>
          <w:p w14:paraId="7E072BDA" w14:textId="30710883" w:rsidR="006D3DC4" w:rsidRPr="00B12C2C" w:rsidRDefault="006D3DC4" w:rsidP="006C55D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Scheduled communications / updates from employers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35FD5B8" w14:textId="02163115" w:rsidR="006D3DC4" w:rsidRPr="00B12C2C" w:rsidRDefault="00CD540B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65A5F5" wp14:editId="5E9C6BBD">
                  <wp:extent cx="800100" cy="824083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66" cy="82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1A9ACD4" w14:textId="6AE8FCD2" w:rsidR="00491881" w:rsidRPr="00B12C2C" w:rsidRDefault="00A60172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A2C0C8" wp14:editId="356424A4">
                  <wp:extent cx="800100" cy="824083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66" cy="82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380552" w14:textId="1AB5B013" w:rsidR="00CD540B" w:rsidRPr="00B12C2C" w:rsidRDefault="00CD540B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  <w:p w14:paraId="255C8E11" w14:textId="77777777" w:rsidR="00491881" w:rsidRPr="00B12C2C" w:rsidRDefault="00491881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4C6BD13" w14:textId="77777777" w:rsidR="00491881" w:rsidRPr="00B12C2C" w:rsidRDefault="00491881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074DE5B" w14:textId="77777777" w:rsidR="00491881" w:rsidRPr="00B12C2C" w:rsidRDefault="00491881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14A2F03" w14:textId="77777777" w:rsidR="00491881" w:rsidRPr="00B12C2C" w:rsidRDefault="00491881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1461BBF" w14:textId="6E82F6FD" w:rsidR="00491881" w:rsidRPr="00B12C2C" w:rsidRDefault="00491881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D3DC4" w:rsidRPr="00B12C2C" w14:paraId="55C0C340" w14:textId="79A31C2A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A34BC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Governance</w:t>
            </w:r>
          </w:p>
          <w:p w14:paraId="3F35C978" w14:textId="0D7ECAC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5435E106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33BA5778" w14:textId="77777777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Lack of expertise on Pension Committee, Pension Board or amongst officers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0EBA58E9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Lack of training &amp; continuous professional development</w:t>
            </w:r>
          </w:p>
          <w:p w14:paraId="1DF18C9B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Loss of key individuals 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BE55B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Detrimental decision making</w:t>
            </w:r>
          </w:p>
          <w:p w14:paraId="1B8AC61A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Reputational risk for the Fund </w:t>
            </w:r>
          </w:p>
          <w:p w14:paraId="35DE9875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Breach of statutory requirements</w:t>
            </w:r>
          </w:p>
          <w:p w14:paraId="378B7F25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to meet objectives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7D998295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loss</w:t>
            </w:r>
          </w:p>
          <w:p w14:paraId="05338DA9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Inability to meet overall strategic objectives</w:t>
            </w:r>
          </w:p>
          <w:p w14:paraId="25CE45DE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Increase in employer contribution requirements</w:t>
            </w:r>
          </w:p>
          <w:p w14:paraId="755B1556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Regulatory action</w:t>
            </w:r>
          </w:p>
          <w:p w14:paraId="424E6D38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79A3C5B" w14:textId="37A37CF7" w:rsidR="006D3DC4" w:rsidRPr="00B12C2C" w:rsidRDefault="006D3DC4" w:rsidP="006C55D3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FDCFCC" wp14:editId="45198433">
                  <wp:extent cx="852170" cy="880745"/>
                  <wp:effectExtent l="0" t="0" r="508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D106C86" w14:textId="1046DD96" w:rsidR="006D3DC4" w:rsidRPr="00B12C2C" w:rsidRDefault="006D3DC4" w:rsidP="009833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Key policies and governance arrangements independently audited and reviewed</w:t>
            </w:r>
          </w:p>
          <w:p w14:paraId="5AC691E0" w14:textId="239FEFE3" w:rsidR="006D3DC4" w:rsidRPr="00B12C2C" w:rsidRDefault="006D3DC4" w:rsidP="009833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Key officer meets M</w:t>
            </w:r>
            <w:r w:rsidR="001F528E"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arkets in Financial Instruments Directive (M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IFIID</w:t>
            </w:r>
            <w:r w:rsidR="001F528E"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)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 professional investor requirements</w:t>
            </w:r>
          </w:p>
          <w:p w14:paraId="6C5D425E" w14:textId="1305A639" w:rsidR="006D3DC4" w:rsidRPr="00B12C2C" w:rsidRDefault="006D3DC4" w:rsidP="009833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Training &amp; support </w:t>
            </w:r>
          </w:p>
          <w:p w14:paraId="50C8124C" w14:textId="6ADA32CB" w:rsidR="006D3DC4" w:rsidRPr="00B12C2C" w:rsidRDefault="006D3DC4" w:rsidP="009833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External </w:t>
            </w:r>
            <w:r w:rsidR="006E0483"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specialist advice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 </w:t>
            </w:r>
          </w:p>
          <w:p w14:paraId="12785F35" w14:textId="5E8ECCCD" w:rsidR="006D3DC4" w:rsidRPr="00B12C2C" w:rsidRDefault="006D3DC4" w:rsidP="00983350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A6623DC" w14:textId="73C802EA" w:rsidR="006D3DC4" w:rsidRPr="00B12C2C" w:rsidRDefault="006F7B7B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24C284" wp14:editId="2C47375E">
                  <wp:extent cx="772799" cy="809625"/>
                  <wp:effectExtent l="0" t="0" r="825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86" cy="81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4BDEF69F" w14:textId="76D5EC97" w:rsidR="006D3DC4" w:rsidRPr="00B12C2C" w:rsidRDefault="008E737F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E2574B" wp14:editId="14DC9C07">
                  <wp:extent cx="772799" cy="80962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86" cy="81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C76CB" w14:textId="67CA5741" w:rsidR="00491881" w:rsidRPr="00B12C2C" w:rsidRDefault="006F7B7B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24145D73" w14:textId="1EE5E83F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68DE1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Governance</w:t>
            </w:r>
          </w:p>
          <w:p w14:paraId="407DBD64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0F2B1253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5F0F5A25" w14:textId="32D77833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Over reliance on key officers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B022CDC" w14:textId="77777777" w:rsidR="006D3DC4" w:rsidRPr="00B12C2C" w:rsidRDefault="006D3DC4" w:rsidP="00FA6FD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key individuals</w:t>
            </w:r>
          </w:p>
          <w:p w14:paraId="4D7FD195" w14:textId="77777777" w:rsidR="006D3DC4" w:rsidRPr="00B12C2C" w:rsidRDefault="006D3DC4" w:rsidP="00FA6FD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Inability to recruit individuals with specialist skills &amp; experience</w:t>
            </w:r>
          </w:p>
          <w:p w14:paraId="3B981D11" w14:textId="77777777" w:rsidR="006D3DC4" w:rsidRPr="00B12C2C" w:rsidRDefault="006D3DC4" w:rsidP="00FA6FD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Inadequate governance arrangements</w:t>
            </w:r>
          </w:p>
          <w:p w14:paraId="559FEA25" w14:textId="77777777" w:rsidR="006D3DC4" w:rsidRPr="00B12C2C" w:rsidRDefault="006D3DC4" w:rsidP="00FA6FD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Lack of specialist 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advisors to support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66687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>Detrimental decision making</w:t>
            </w:r>
          </w:p>
          <w:p w14:paraId="0BF84820" w14:textId="77777777" w:rsidR="006D3DC4" w:rsidRPr="00B12C2C" w:rsidRDefault="006D3DC4" w:rsidP="00FA6F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Reputational risk for the Fund </w:t>
            </w:r>
          </w:p>
          <w:p w14:paraId="4EF3A97F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Breach of statutory requirements</w:t>
            </w:r>
          </w:p>
          <w:p w14:paraId="74BA5DFA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to meet objectives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CB42ECA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loss</w:t>
            </w:r>
          </w:p>
          <w:p w14:paraId="1773D5AD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Inability to meet overall strategic objectives</w:t>
            </w:r>
          </w:p>
          <w:p w14:paraId="51D8FC9A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Increase in employer contribution requirements</w:t>
            </w:r>
          </w:p>
          <w:p w14:paraId="0C5F86FA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Regulatory action</w:t>
            </w:r>
          </w:p>
          <w:p w14:paraId="47C9CEEE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04A46CE" w14:textId="59D897E7" w:rsidR="006D3DC4" w:rsidRPr="00B12C2C" w:rsidRDefault="006D3DC4" w:rsidP="00CC5071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4871C6" wp14:editId="2741B89C">
                  <wp:extent cx="852170" cy="829945"/>
                  <wp:effectExtent l="0" t="0" r="5080" b="825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CF3A5B9" w14:textId="77777777" w:rsidR="006D3DC4" w:rsidRPr="00B12C2C" w:rsidRDefault="006D3DC4" w:rsidP="00CC507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Key policies and governance arrangements independently audited and reviewed</w:t>
            </w:r>
          </w:p>
          <w:p w14:paraId="2E9DC0BC" w14:textId="7AC0A05C" w:rsidR="006D3DC4" w:rsidRPr="00B12C2C" w:rsidRDefault="006D3DC4" w:rsidP="00CC507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Knowledge &amp; experience of staff</w:t>
            </w:r>
          </w:p>
          <w:p w14:paraId="2E69D2D3" w14:textId="13D57D06" w:rsidR="006D3DC4" w:rsidRPr="00B12C2C" w:rsidRDefault="006D3DC4" w:rsidP="00CC507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External </w:t>
            </w:r>
            <w:r w:rsidR="006E0483"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specialist advice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 </w:t>
            </w:r>
          </w:p>
          <w:p w14:paraId="64EB32AE" w14:textId="05290087" w:rsidR="006D3DC4" w:rsidRPr="00B12C2C" w:rsidRDefault="006D3DC4" w:rsidP="00CC507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 xml:space="preserve">Peer support from other LGPS </w:t>
            </w:r>
          </w:p>
          <w:p w14:paraId="4030536B" w14:textId="77777777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4F4C880" w14:textId="7AC1FFBE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7F7D2118" wp14:editId="7E6B8655">
                  <wp:extent cx="852805" cy="893445"/>
                  <wp:effectExtent l="0" t="0" r="4445" b="190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0246E74A" w14:textId="51E70EF6" w:rsidR="006D3DC4" w:rsidRPr="00B12C2C" w:rsidRDefault="00491881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35E004" wp14:editId="55B9B2C1">
                  <wp:extent cx="838200" cy="878144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612" cy="88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0B6997" w14:textId="62F22861" w:rsidR="00491881" w:rsidRPr="00B12C2C" w:rsidRDefault="00491881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77713CA5" w14:textId="51DEADBE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1B0B84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Governance</w:t>
            </w:r>
          </w:p>
          <w:p w14:paraId="4095B985" w14:textId="4AFAF2D1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18420B0E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3C51C837" w14:textId="77777777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 Failure to communicate adequately with stakeholders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87AABBE" w14:textId="77777777" w:rsidR="006D3DC4" w:rsidRPr="00B12C2C" w:rsidRDefault="006D3DC4" w:rsidP="00FA6FD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Inadequate communication policy </w:t>
            </w:r>
          </w:p>
          <w:p w14:paraId="051B4FA0" w14:textId="77777777" w:rsidR="006D3DC4" w:rsidRPr="00B12C2C" w:rsidRDefault="006D3DC4" w:rsidP="00FA6FD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Inadequate processes &amp; protocols with employers and scheme members 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CA5810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Scheme members not aware of their rights </w:t>
            </w:r>
          </w:p>
          <w:p w14:paraId="04A1145D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Employers not aware of regulations, procedures, etc. </w:t>
            </w:r>
          </w:p>
          <w:p w14:paraId="3296F041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Reputational risk</w:t>
            </w:r>
          </w:p>
          <w:p w14:paraId="638BB77E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Breach of statutory requirements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020B3A5D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Sub-optimal decision making resulting to financial detriment of members</w:t>
            </w:r>
          </w:p>
          <w:p w14:paraId="03CAB03F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Errors in members calculations</w:t>
            </w:r>
          </w:p>
          <w:p w14:paraId="11D805AF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</w:t>
            </w:r>
          </w:p>
          <w:p w14:paraId="275EB5CD" w14:textId="77777777" w:rsidR="006D3DC4" w:rsidRPr="00B12C2C" w:rsidRDefault="006D3DC4" w:rsidP="00FA6FD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Regulatory action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5AD1A9A" w14:textId="5E7DDF6B" w:rsidR="006D3DC4" w:rsidRPr="00B12C2C" w:rsidRDefault="006D3DC4" w:rsidP="003301E2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F101F6" wp14:editId="41E4F809">
                  <wp:extent cx="852170" cy="852170"/>
                  <wp:effectExtent l="0" t="0" r="5080" b="508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A649FEB" w14:textId="77777777" w:rsidR="006D3DC4" w:rsidRPr="00B12C2C" w:rsidRDefault="006D3DC4" w:rsidP="001F41A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Communications policy</w:t>
            </w:r>
          </w:p>
          <w:p w14:paraId="370C3F26" w14:textId="208F43C7" w:rsidR="006D3DC4" w:rsidRPr="00B12C2C" w:rsidRDefault="006D3DC4" w:rsidP="001F41A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Standard documentation &amp; communications </w:t>
            </w:r>
          </w:p>
          <w:p w14:paraId="13F24A53" w14:textId="77777777" w:rsidR="006D3DC4" w:rsidRPr="00B12C2C" w:rsidRDefault="006D3DC4" w:rsidP="001F41A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Website information</w:t>
            </w:r>
          </w:p>
          <w:p w14:paraId="1824432D" w14:textId="77777777" w:rsidR="006D3DC4" w:rsidRPr="00B12C2C" w:rsidRDefault="006D3DC4" w:rsidP="001F41A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Standard key processes &amp; protocols</w:t>
            </w:r>
          </w:p>
          <w:p w14:paraId="7724308F" w14:textId="3F751830" w:rsidR="006D3DC4" w:rsidRPr="00B12C2C" w:rsidRDefault="006D3DC4" w:rsidP="001F41A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val="fr-FR"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val="fr-FR" w:eastAsia="en-GB"/>
              </w:rPr>
              <w:t>Employer communications (</w:t>
            </w:r>
            <w:proofErr w:type="spellStart"/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val="fr-FR" w:eastAsia="en-GB"/>
              </w:rPr>
              <w:t>e mails</w:t>
            </w:r>
            <w:proofErr w:type="spellEnd"/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val="fr-FR" w:eastAsia="en-GB"/>
              </w:rPr>
              <w:t xml:space="preserve"> / info sessions / documentation / guidance</w:t>
            </w:r>
          </w:p>
          <w:p w14:paraId="3E255FE5" w14:textId="706BE02B" w:rsidR="006D3DC4" w:rsidRPr="00B12C2C" w:rsidRDefault="006D3DC4" w:rsidP="001F41A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Adequately trained staff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675FCF1" w14:textId="3C012A53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C17597" wp14:editId="7FC8E79C">
                  <wp:extent cx="852805" cy="876300"/>
                  <wp:effectExtent l="0" t="0" r="444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28C4BBC" w14:textId="7678BCFE" w:rsidR="006D3DC4" w:rsidRPr="00B12C2C" w:rsidRDefault="00491881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F75C1B" wp14:editId="236A56FC">
                  <wp:extent cx="815727" cy="838200"/>
                  <wp:effectExtent l="0" t="0" r="381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501" cy="838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BC3933" w14:textId="088BCE5F" w:rsidR="00491881" w:rsidRPr="00B12C2C" w:rsidRDefault="00491881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774B12C1" w14:textId="5DEB37EF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63FB6F" w14:textId="2808C6D1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Funding - Employer related</w:t>
            </w:r>
          </w:p>
          <w:p w14:paraId="4BB1A1F2" w14:textId="789EABD5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cautious)</w:t>
            </w:r>
          </w:p>
          <w:p w14:paraId="7A33124C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4E306CDB" w14:textId="77777777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Employer Covenant Risk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32CCE6CD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Change in employer actuarial profile which has resulted in significant increase in liability</w:t>
            </w:r>
          </w:p>
          <w:p w14:paraId="79BF06C2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Unsuitable guarantee / financial health of employer</w:t>
            </w:r>
          </w:p>
          <w:p w14:paraId="30733AD6" w14:textId="77777777" w:rsidR="006D3DC4" w:rsidRPr="00B12C2C" w:rsidRDefault="006D3DC4" w:rsidP="00FF77D6">
            <w:pPr>
              <w:pStyle w:val="ListParagraph"/>
              <w:spacing w:after="0" w:line="240" w:lineRule="auto"/>
              <w:ind w:left="360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4EF0B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Employers unable to financially provide for exit liability 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057367E5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Inability to meet overall strategic objectives</w:t>
            </w:r>
          </w:p>
          <w:p w14:paraId="37656913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impact on overall funding level</w:t>
            </w:r>
          </w:p>
          <w:p w14:paraId="487CD02C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Remaining employers required to accommodate the shortfall via increased contribution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0C41340" w14:textId="1D917B07" w:rsidR="006D3DC4" w:rsidRPr="00B12C2C" w:rsidRDefault="006D3DC4" w:rsidP="001F41A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2975D6" wp14:editId="5E9A78B8">
                  <wp:extent cx="852170" cy="829945"/>
                  <wp:effectExtent l="0" t="0" r="5080" b="825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C14985C" w14:textId="77777777" w:rsidR="006D3DC4" w:rsidRPr="00B12C2C" w:rsidRDefault="006D3DC4" w:rsidP="001923A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Government or local authority guarantees, bonds or securities over assets</w:t>
            </w:r>
          </w:p>
          <w:p w14:paraId="000FE3EA" w14:textId="77777777" w:rsidR="006D3DC4" w:rsidRPr="00B12C2C" w:rsidRDefault="006D3DC4" w:rsidP="001923A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Independent covenant review and financial assessments to identify</w:t>
            </w:r>
          </w:p>
          <w:p w14:paraId="40E6C05C" w14:textId="77777777" w:rsidR="006D3DC4" w:rsidRPr="00B12C2C" w:rsidRDefault="006D3DC4" w:rsidP="001923A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Funding strategy to enable exit at minimal risk to 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lastRenderedPageBreak/>
              <w:t xml:space="preserve">remaining employers </w:t>
            </w:r>
          </w:p>
          <w:p w14:paraId="3C8F174A" w14:textId="09EB62F8" w:rsidR="006D3DC4" w:rsidRPr="00B12C2C" w:rsidRDefault="006D3DC4" w:rsidP="001923A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Affordable payment schedule independently assessed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7DDD576F" w14:textId="53AD1528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32118EBA" wp14:editId="669D3E53">
                  <wp:extent cx="852805" cy="893445"/>
                  <wp:effectExtent l="0" t="0" r="4445" b="190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D235991" w14:textId="7343F57A" w:rsidR="006D3DC4" w:rsidRPr="00B12C2C" w:rsidRDefault="00491881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2D3FDC" wp14:editId="0FF79C30">
                  <wp:extent cx="852805" cy="893445"/>
                  <wp:effectExtent l="0" t="0" r="4445" b="1905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CDC6EF" w14:textId="37773549" w:rsidR="00491881" w:rsidRPr="00B12C2C" w:rsidRDefault="00491881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06315F25" w14:textId="28558303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3D10B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Governance</w:t>
            </w:r>
          </w:p>
          <w:p w14:paraId="21F796A6" w14:textId="325B1754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minimalist)</w:t>
            </w:r>
          </w:p>
          <w:p w14:paraId="6B9AADC1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161B7019" w14:textId="77777777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Risks in relation to use of 3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vertAlign w:val="superscript"/>
                <w:lang w:eastAsia="en-GB"/>
              </w:rPr>
              <w:t>rd</w:t>
            </w: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 party service providers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35A83DD5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Inadequate policy</w:t>
            </w:r>
          </w:p>
          <w:p w14:paraId="1258EA8D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Poor due diligence and selection processes</w:t>
            </w:r>
          </w:p>
          <w:p w14:paraId="782AD259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Poor contract management</w:t>
            </w: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4AA34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Poor decision making</w:t>
            </w:r>
          </w:p>
          <w:p w14:paraId="029248C3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of supplier adhering to contractual agreement</w:t>
            </w:r>
          </w:p>
          <w:p w14:paraId="40FE1956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Reputational risk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F1ED06F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Financial detriment to the fund</w:t>
            </w:r>
          </w:p>
          <w:p w14:paraId="0C2F1B27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B6270CA" w14:textId="5D9B2F17" w:rsidR="006D3DC4" w:rsidRPr="00B12C2C" w:rsidRDefault="006D3DC4" w:rsidP="00DD4415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6A6198" wp14:editId="7D2ECEB2">
                  <wp:extent cx="852170" cy="852170"/>
                  <wp:effectExtent l="0" t="0" r="5080" b="508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7E21CAF4" w14:textId="77777777" w:rsidR="006D3DC4" w:rsidRPr="00B12C2C" w:rsidRDefault="006D3DC4" w:rsidP="00DD441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Procurement policy</w:t>
            </w:r>
          </w:p>
          <w:p w14:paraId="2C147B64" w14:textId="7804A085" w:rsidR="006D3DC4" w:rsidRPr="00B12C2C" w:rsidRDefault="006D3DC4" w:rsidP="00DD441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Contracts database</w:t>
            </w:r>
          </w:p>
          <w:p w14:paraId="0AE9857C" w14:textId="3A81603B" w:rsidR="006D3DC4" w:rsidRPr="00B12C2C" w:rsidRDefault="006D3DC4" w:rsidP="00DD441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Documented contract management protocol</w:t>
            </w:r>
          </w:p>
          <w:p w14:paraId="58DD54BE" w14:textId="4F61AC08" w:rsidR="006D3DC4" w:rsidRPr="00B12C2C" w:rsidRDefault="006D3DC4" w:rsidP="00DD441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Use of national frameworks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7F48BD8C" w14:textId="736D4959" w:rsidR="006D3DC4" w:rsidRPr="00B12C2C" w:rsidRDefault="76F5ED0B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A3BF5D" wp14:editId="390E279C">
                  <wp:extent cx="748573" cy="763623"/>
                  <wp:effectExtent l="0" t="0" r="4445" b="635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73" cy="76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189AECA1" w14:textId="2F65499A" w:rsidR="006D3DC4" w:rsidRPr="00B12C2C" w:rsidRDefault="46057006" w:rsidP="2AD17A58">
            <w:pPr>
              <w:spacing w:after="0" w:line="240" w:lineRule="auto"/>
              <w:rPr>
                <w:rFonts w:ascii="Arial" w:eastAsia="Lucida Sans Unicode" w:hAnsi="Arial" w:cs="Arial"/>
                <w:noProof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AC6D7A" wp14:editId="193BC5B9">
                  <wp:extent cx="752475" cy="767603"/>
                  <wp:effectExtent l="0" t="0" r="4445" b="6350"/>
                  <wp:docPr id="1255522897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67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8FC8CD" w14:textId="2A9CF60C" w:rsidR="00491881" w:rsidRPr="00B12C2C" w:rsidRDefault="46057006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  <w:tr w:rsidR="006D3DC4" w:rsidRPr="00B12C2C" w14:paraId="15A55BE4" w14:textId="6E1761F2" w:rsidTr="2AD17A58">
        <w:tc>
          <w:tcPr>
            <w:tcW w:w="2504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3038F" w14:textId="645B6BCB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b/>
                <w:color w:val="1D2828"/>
                <w:sz w:val="20"/>
                <w:szCs w:val="20"/>
                <w:lang w:eastAsia="en-GB"/>
              </w:rPr>
              <w:t>Funding - ESG</w:t>
            </w:r>
          </w:p>
          <w:p w14:paraId="5E9C4D67" w14:textId="77777777" w:rsidR="00FC079D" w:rsidRPr="00B12C2C" w:rsidRDefault="00FC079D" w:rsidP="00FC079D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(Risk appetite - cautious)</w:t>
            </w:r>
          </w:p>
          <w:p w14:paraId="179B0246" w14:textId="77777777" w:rsidR="00FC079D" w:rsidRPr="00B12C2C" w:rsidRDefault="00FC079D" w:rsidP="00FC079D">
            <w:pPr>
              <w:pStyle w:val="ListParagraph"/>
              <w:spacing w:after="0" w:line="240" w:lineRule="auto"/>
              <w:ind w:left="0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  <w:p w14:paraId="2F1BB5DB" w14:textId="4963E027" w:rsidR="006D3DC4" w:rsidRPr="00B12C2C" w:rsidRDefault="006D3DC4" w:rsidP="00FA6FD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Failure to implement ESG Policy (specifically in relation to Climate Change and incoming requirements of TCFD)</w:t>
            </w:r>
          </w:p>
        </w:tc>
        <w:tc>
          <w:tcPr>
            <w:tcW w:w="19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551C5ADD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Inadequate policy &amp; practices</w:t>
            </w:r>
          </w:p>
          <w:p w14:paraId="3BD6B4FD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Failing to understand incoming requirements </w:t>
            </w:r>
          </w:p>
          <w:p w14:paraId="36EA2C8C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Failing to plan and implement changes required</w:t>
            </w:r>
          </w:p>
          <w:p w14:paraId="50BBBA25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Lack of knowledge &amp; skills</w:t>
            </w:r>
          </w:p>
          <w:p w14:paraId="4CE0FBA0" w14:textId="77777777" w:rsidR="006D3DC4" w:rsidRPr="00B12C2C" w:rsidRDefault="006D3DC4" w:rsidP="00FF77D6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</w:p>
        </w:tc>
        <w:tc>
          <w:tcPr>
            <w:tcW w:w="181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220F53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Poor decision making</w:t>
            </w:r>
          </w:p>
          <w:p w14:paraId="2BB2DA11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Non-compliant actions being taken</w:t>
            </w:r>
          </w:p>
          <w:p w14:paraId="07647BD8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Statutory breach</w:t>
            </w:r>
          </w:p>
          <w:p w14:paraId="34EFD3C1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Reputational risk</w:t>
            </w:r>
          </w:p>
        </w:tc>
        <w:tc>
          <w:tcPr>
            <w:tcW w:w="2238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F9B551F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Failing to meet strategic objectives</w:t>
            </w:r>
          </w:p>
          <w:p w14:paraId="351D8770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Regulatory action</w:t>
            </w:r>
          </w:p>
          <w:p w14:paraId="48E1B339" w14:textId="77777777" w:rsidR="006D3DC4" w:rsidRPr="00B12C2C" w:rsidRDefault="006D3DC4" w:rsidP="00FA6FD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Loss of stakeholder confidence</w:t>
            </w:r>
          </w:p>
        </w:tc>
        <w:tc>
          <w:tcPr>
            <w:tcW w:w="1559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2051952" w14:textId="09C412DE" w:rsidR="006D3DC4" w:rsidRPr="00B12C2C" w:rsidRDefault="006D3DC4" w:rsidP="004841BC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148FFC" wp14:editId="29E49F60">
                  <wp:extent cx="852170" cy="840740"/>
                  <wp:effectExtent l="0" t="0" r="508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6770F446" w14:textId="05CFFBBE" w:rsidR="006D3DC4" w:rsidRPr="00B12C2C" w:rsidRDefault="006D3DC4" w:rsidP="004841B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 xml:space="preserve">Regularly reviewed policies, processes and reporting </w:t>
            </w:r>
          </w:p>
          <w:p w14:paraId="0BD70C4E" w14:textId="77777777" w:rsidR="006D3DC4" w:rsidRPr="00B12C2C" w:rsidRDefault="006D3DC4" w:rsidP="004841B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Project plans to meet changing requirements</w:t>
            </w:r>
          </w:p>
          <w:p w14:paraId="4B0D7708" w14:textId="77777777" w:rsidR="006D3DC4" w:rsidRPr="00B12C2C" w:rsidRDefault="006D3DC4" w:rsidP="004841B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Specialist advice as required</w:t>
            </w:r>
          </w:p>
          <w:p w14:paraId="7438ED2E" w14:textId="6469545B" w:rsidR="006D3DC4" w:rsidRPr="00B12C2C" w:rsidRDefault="006D3DC4" w:rsidP="004841B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1417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618851D" w14:textId="5808E7ED" w:rsidR="006D3DC4" w:rsidRPr="00B12C2C" w:rsidRDefault="006D3DC4" w:rsidP="00A6084B">
            <w:pPr>
              <w:spacing w:after="0" w:line="240" w:lineRule="auto"/>
              <w:rPr>
                <w:rFonts w:ascii="Arial" w:eastAsia="Lucida Sans Unicode" w:hAnsi="Arial" w:cs="Arial"/>
                <w:color w:val="1D2828"/>
                <w:sz w:val="20"/>
                <w:szCs w:val="20"/>
                <w:lang w:eastAsia="en-GB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B66602" wp14:editId="38743EAF">
                  <wp:extent cx="852805" cy="829945"/>
                  <wp:effectExtent l="0" t="0" r="4445" b="825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2F4F4F"/>
              <w:left w:val="single" w:sz="8" w:space="0" w:color="2F4F4F"/>
              <w:bottom w:val="single" w:sz="8" w:space="0" w:color="2F4F4F"/>
              <w:right w:val="single" w:sz="8" w:space="0" w:color="2F4F4F"/>
            </w:tcBorders>
            <w:shd w:val="clear" w:color="auto" w:fill="FFFFFF" w:themeFill="background1"/>
          </w:tcPr>
          <w:p w14:paraId="283CA98E" w14:textId="5F9A8DAB" w:rsidR="006D3DC4" w:rsidRPr="00B12C2C" w:rsidRDefault="00491881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39CCBC" wp14:editId="0F702C8E">
                  <wp:extent cx="852805" cy="829945"/>
                  <wp:effectExtent l="0" t="0" r="4445" b="8255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57C53" w14:textId="726674C5" w:rsidR="00491881" w:rsidRPr="00B12C2C" w:rsidRDefault="00491881" w:rsidP="00A6084B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12C2C">
              <w:rPr>
                <w:rFonts w:ascii="Arial" w:hAnsi="Arial" w:cs="Arial"/>
                <w:noProof/>
                <w:sz w:val="20"/>
                <w:szCs w:val="20"/>
              </w:rPr>
              <w:t>No Change</w:t>
            </w:r>
          </w:p>
        </w:tc>
      </w:tr>
    </w:tbl>
    <w:p w14:paraId="03C2E690" w14:textId="77777777" w:rsidR="00FA6FDD" w:rsidRPr="00B12C2C" w:rsidRDefault="00FA6FDD" w:rsidP="00FA6FDD">
      <w:pPr>
        <w:pStyle w:val="Default"/>
        <w:ind w:left="720" w:firstLine="720"/>
        <w:jc w:val="center"/>
        <w:rPr>
          <w:sz w:val="20"/>
          <w:szCs w:val="20"/>
        </w:rPr>
      </w:pPr>
    </w:p>
    <w:p w14:paraId="52061BB9" w14:textId="77777777" w:rsidR="00FA6FDD" w:rsidRPr="00B12C2C" w:rsidRDefault="00FA6FDD" w:rsidP="001235ED">
      <w:pPr>
        <w:spacing w:after="0" w:line="12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sectPr w:rsidR="00FA6FDD" w:rsidRPr="00B12C2C" w:rsidSect="008023CF">
      <w:pgSz w:w="16820" w:h="11880" w:orient="landscape" w:code="9"/>
      <w:pgMar w:top="1077" w:right="1077" w:bottom="1077" w:left="107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2819D" w14:textId="77777777" w:rsidR="00C05A28" w:rsidRDefault="00C05A28" w:rsidP="008023CF">
      <w:pPr>
        <w:spacing w:after="0" w:line="240" w:lineRule="auto"/>
      </w:pPr>
      <w:r>
        <w:separator/>
      </w:r>
    </w:p>
  </w:endnote>
  <w:endnote w:type="continuationSeparator" w:id="0">
    <w:p w14:paraId="105DFC17" w14:textId="77777777" w:rsidR="00C05A28" w:rsidRDefault="00C05A28" w:rsidP="008023CF">
      <w:pPr>
        <w:spacing w:after="0" w:line="240" w:lineRule="auto"/>
      </w:pPr>
      <w:r>
        <w:continuationSeparator/>
      </w:r>
    </w:p>
  </w:endnote>
  <w:endnote w:type="continuationNotice" w:id="1">
    <w:p w14:paraId="1581B403" w14:textId="77777777" w:rsidR="00C05A28" w:rsidRDefault="00C05A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CDC6" w14:textId="32D67813" w:rsidR="00557B62" w:rsidRPr="006563EF" w:rsidRDefault="00320D36" w:rsidP="00C3085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253</w:t>
    </w:r>
    <w:r w:rsidRPr="00F60229">
      <w:rPr>
        <w:rFonts w:ascii="Arial" w:hAnsi="Arial" w:cs="Arial"/>
        <w:sz w:val="16"/>
        <w:szCs w:val="16"/>
      </w:rPr>
      <w:t>-202</w:t>
    </w:r>
    <w:r>
      <w:rPr>
        <w:rFonts w:ascii="Arial" w:hAnsi="Arial" w:cs="Arial"/>
        <w:sz w:val="16"/>
        <w:szCs w:val="16"/>
      </w:rPr>
      <w:t>5</w:t>
    </w:r>
    <w:r w:rsidRPr="00F60229">
      <w:rPr>
        <w:rFonts w:ascii="Arial" w:hAnsi="Arial" w:cs="Arial"/>
        <w:sz w:val="16"/>
        <w:szCs w:val="16"/>
      </w:rPr>
      <w:t>-RISK REGISTER-</w:t>
    </w:r>
    <w:r>
      <w:rPr>
        <w:rFonts w:ascii="Arial" w:hAnsi="Arial" w:cs="Arial"/>
        <w:sz w:val="16"/>
        <w:szCs w:val="16"/>
      </w:rPr>
      <w:t>220925</w:t>
    </w:r>
    <w:r w:rsidR="00557B62">
      <w:rPr>
        <w:rFonts w:ascii="Arial" w:hAnsi="Arial" w:cs="Arial"/>
        <w:sz w:val="16"/>
        <w:szCs w:val="16"/>
      </w:rPr>
      <w:tab/>
    </w:r>
    <w:r w:rsidR="00557B62">
      <w:rPr>
        <w:rFonts w:ascii="Arial" w:hAnsi="Arial" w:cs="Arial"/>
        <w:sz w:val="16"/>
        <w:szCs w:val="16"/>
      </w:rPr>
      <w:tab/>
    </w:r>
  </w:p>
  <w:p w14:paraId="0FCB2D27" w14:textId="77777777" w:rsidR="00557B62" w:rsidRPr="00340654" w:rsidRDefault="00557B62" w:rsidP="00340654">
    <w:pPr>
      <w:pStyle w:val="Footer"/>
    </w:pP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D09D" w14:textId="13698936" w:rsidR="00557B62" w:rsidRPr="00F60229" w:rsidRDefault="00806702" w:rsidP="006563E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253</w:t>
    </w:r>
    <w:r w:rsidR="00557B62" w:rsidRPr="00F60229">
      <w:rPr>
        <w:rFonts w:ascii="Arial" w:hAnsi="Arial" w:cs="Arial"/>
        <w:sz w:val="16"/>
        <w:szCs w:val="16"/>
      </w:rPr>
      <w:t>-202</w:t>
    </w:r>
    <w:r w:rsidR="00394595">
      <w:rPr>
        <w:rFonts w:ascii="Arial" w:hAnsi="Arial" w:cs="Arial"/>
        <w:sz w:val="16"/>
        <w:szCs w:val="16"/>
      </w:rPr>
      <w:t>5</w:t>
    </w:r>
    <w:r w:rsidR="00557B62" w:rsidRPr="00F60229">
      <w:rPr>
        <w:rFonts w:ascii="Arial" w:hAnsi="Arial" w:cs="Arial"/>
        <w:sz w:val="16"/>
        <w:szCs w:val="16"/>
      </w:rPr>
      <w:t>-RISK REGISTER-</w:t>
    </w:r>
    <w:r w:rsidR="00215DC8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209</w:t>
    </w:r>
    <w:r w:rsidR="00394595">
      <w:rPr>
        <w:rFonts w:ascii="Arial" w:hAnsi="Arial" w:cs="Arial"/>
        <w:sz w:val="16"/>
        <w:szCs w:val="16"/>
      </w:rPr>
      <w:t>25</w:t>
    </w:r>
    <w:r w:rsidR="00557B62" w:rsidRPr="00F60229">
      <w:rPr>
        <w:rFonts w:ascii="Arial" w:hAnsi="Arial" w:cs="Arial"/>
        <w:sz w:val="16"/>
        <w:szCs w:val="16"/>
      </w:rPr>
      <w:tab/>
    </w:r>
  </w:p>
  <w:p w14:paraId="4A9FDEBE" w14:textId="52C19C9B" w:rsidR="00557B62" w:rsidRDefault="00806702" w:rsidP="00806702">
    <w:pPr>
      <w:pStyle w:val="Footer"/>
      <w:tabs>
        <w:tab w:val="clear" w:pos="4513"/>
        <w:tab w:val="clear" w:pos="9026"/>
        <w:tab w:val="left" w:pos="33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6A370" w14:textId="77777777" w:rsidR="00C05A28" w:rsidRDefault="00C05A28" w:rsidP="008023CF">
      <w:pPr>
        <w:spacing w:after="0" w:line="240" w:lineRule="auto"/>
      </w:pPr>
      <w:r>
        <w:separator/>
      </w:r>
    </w:p>
  </w:footnote>
  <w:footnote w:type="continuationSeparator" w:id="0">
    <w:p w14:paraId="1C6E494B" w14:textId="77777777" w:rsidR="00C05A28" w:rsidRDefault="00C05A28" w:rsidP="008023CF">
      <w:pPr>
        <w:spacing w:after="0" w:line="240" w:lineRule="auto"/>
      </w:pPr>
      <w:r>
        <w:continuationSeparator/>
      </w:r>
    </w:p>
  </w:footnote>
  <w:footnote w:type="continuationNotice" w:id="1">
    <w:p w14:paraId="35281531" w14:textId="77777777" w:rsidR="00C05A28" w:rsidRDefault="00C05A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8A9"/>
    <w:multiLevelType w:val="hybridMultilevel"/>
    <w:tmpl w:val="6F800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5AB"/>
    <w:multiLevelType w:val="hybridMultilevel"/>
    <w:tmpl w:val="2328F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07AA8"/>
    <w:multiLevelType w:val="hybridMultilevel"/>
    <w:tmpl w:val="4BC2D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C57BB"/>
    <w:multiLevelType w:val="hybridMultilevel"/>
    <w:tmpl w:val="C610E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C7FE4"/>
    <w:multiLevelType w:val="hybridMultilevel"/>
    <w:tmpl w:val="AEC8E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72C43"/>
    <w:multiLevelType w:val="hybridMultilevel"/>
    <w:tmpl w:val="E7707A26"/>
    <w:lvl w:ilvl="0" w:tplc="F98AE22A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24E49"/>
    <w:multiLevelType w:val="hybridMultilevel"/>
    <w:tmpl w:val="07CA2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72B83"/>
    <w:multiLevelType w:val="hybridMultilevel"/>
    <w:tmpl w:val="F7900F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2625B7"/>
    <w:multiLevelType w:val="hybridMultilevel"/>
    <w:tmpl w:val="848C5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216183"/>
    <w:multiLevelType w:val="hybridMultilevel"/>
    <w:tmpl w:val="C960E90A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1CC853D6"/>
    <w:multiLevelType w:val="hybridMultilevel"/>
    <w:tmpl w:val="E2F44830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1CD95C75"/>
    <w:multiLevelType w:val="hybridMultilevel"/>
    <w:tmpl w:val="5C603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B7229A"/>
    <w:multiLevelType w:val="hybridMultilevel"/>
    <w:tmpl w:val="8042C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0C71DE"/>
    <w:multiLevelType w:val="hybridMultilevel"/>
    <w:tmpl w:val="4EDCC24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4" w15:restartNumberingAfterBreak="0">
    <w:nsid w:val="39787C67"/>
    <w:multiLevelType w:val="hybridMultilevel"/>
    <w:tmpl w:val="EF0AE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A1534"/>
    <w:multiLevelType w:val="hybridMultilevel"/>
    <w:tmpl w:val="60CA9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A6003A"/>
    <w:multiLevelType w:val="hybridMultilevel"/>
    <w:tmpl w:val="E27653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506E32"/>
    <w:multiLevelType w:val="hybridMultilevel"/>
    <w:tmpl w:val="E828D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82E56"/>
    <w:multiLevelType w:val="hybridMultilevel"/>
    <w:tmpl w:val="A0A8F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9A34A4"/>
    <w:multiLevelType w:val="hybridMultilevel"/>
    <w:tmpl w:val="51DCE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3745D9"/>
    <w:multiLevelType w:val="hybridMultilevel"/>
    <w:tmpl w:val="600E5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1579E9"/>
    <w:multiLevelType w:val="hybridMultilevel"/>
    <w:tmpl w:val="5F7460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B02628"/>
    <w:multiLevelType w:val="hybridMultilevel"/>
    <w:tmpl w:val="AA2A88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EB00192"/>
    <w:multiLevelType w:val="hybridMultilevel"/>
    <w:tmpl w:val="40300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10655C"/>
    <w:multiLevelType w:val="hybridMultilevel"/>
    <w:tmpl w:val="87DC6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6E3F06"/>
    <w:multiLevelType w:val="hybridMultilevel"/>
    <w:tmpl w:val="10420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2C325C"/>
    <w:multiLevelType w:val="hybridMultilevel"/>
    <w:tmpl w:val="62FE04D2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7" w15:restartNumberingAfterBreak="0">
    <w:nsid w:val="53AA72FB"/>
    <w:multiLevelType w:val="hybridMultilevel"/>
    <w:tmpl w:val="94DE7616"/>
    <w:lvl w:ilvl="0" w:tplc="C04A6B0E">
      <w:start w:val="1"/>
      <w:numFmt w:val="bullet"/>
      <w:lvlText w:val=""/>
      <w:lvlJc w:val="left"/>
      <w:pPr>
        <w:ind w:left="17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57E1819"/>
    <w:multiLevelType w:val="hybridMultilevel"/>
    <w:tmpl w:val="BE148F86"/>
    <w:lvl w:ilvl="0" w:tplc="B90A684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C34275"/>
    <w:multiLevelType w:val="hybridMultilevel"/>
    <w:tmpl w:val="6E901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D15136"/>
    <w:multiLevelType w:val="hybridMultilevel"/>
    <w:tmpl w:val="88E2DF40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1" w15:restartNumberingAfterBreak="0">
    <w:nsid w:val="593509BD"/>
    <w:multiLevelType w:val="hybridMultilevel"/>
    <w:tmpl w:val="036CBD20"/>
    <w:lvl w:ilvl="0" w:tplc="C04A6B0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251B"/>
    <w:multiLevelType w:val="hybridMultilevel"/>
    <w:tmpl w:val="86F4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5074D"/>
    <w:multiLevelType w:val="hybridMultilevel"/>
    <w:tmpl w:val="A90473B6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68BA6E9F"/>
    <w:multiLevelType w:val="hybridMultilevel"/>
    <w:tmpl w:val="1236F400"/>
    <w:lvl w:ilvl="0" w:tplc="C04A6B0E">
      <w:start w:val="1"/>
      <w:numFmt w:val="bullet"/>
      <w:lvlText w:val=""/>
      <w:lvlJc w:val="left"/>
      <w:pPr>
        <w:ind w:left="88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5" w15:restartNumberingAfterBreak="0">
    <w:nsid w:val="6A1F6AC3"/>
    <w:multiLevelType w:val="hybridMultilevel"/>
    <w:tmpl w:val="37D2D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312E7"/>
    <w:multiLevelType w:val="hybridMultilevel"/>
    <w:tmpl w:val="978EAA92"/>
    <w:lvl w:ilvl="0" w:tplc="C04A6B0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D7648"/>
    <w:multiLevelType w:val="hybridMultilevel"/>
    <w:tmpl w:val="0960EC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D6F7C"/>
    <w:multiLevelType w:val="hybridMultilevel"/>
    <w:tmpl w:val="6C7A1F8A"/>
    <w:lvl w:ilvl="0" w:tplc="C04A6B0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D38BF"/>
    <w:multiLevelType w:val="hybridMultilevel"/>
    <w:tmpl w:val="7622557A"/>
    <w:lvl w:ilvl="0" w:tplc="C04A6B0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880DE5"/>
    <w:multiLevelType w:val="hybridMultilevel"/>
    <w:tmpl w:val="6352C55A"/>
    <w:lvl w:ilvl="0" w:tplc="C04A6B0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776EE"/>
    <w:multiLevelType w:val="hybridMultilevel"/>
    <w:tmpl w:val="C18A5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0A6F9B"/>
    <w:multiLevelType w:val="hybridMultilevel"/>
    <w:tmpl w:val="D4F8E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A5799E"/>
    <w:multiLevelType w:val="hybridMultilevel"/>
    <w:tmpl w:val="D8BE9788"/>
    <w:lvl w:ilvl="0" w:tplc="C04A6B0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C507D"/>
    <w:multiLevelType w:val="hybridMultilevel"/>
    <w:tmpl w:val="114CF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5F44D8"/>
    <w:multiLevelType w:val="hybridMultilevel"/>
    <w:tmpl w:val="1F2E9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5003855">
    <w:abstractNumId w:val="5"/>
  </w:num>
  <w:num w:numId="2" w16cid:durableId="1956986536">
    <w:abstractNumId w:val="21"/>
  </w:num>
  <w:num w:numId="3" w16cid:durableId="403769169">
    <w:abstractNumId w:val="7"/>
  </w:num>
  <w:num w:numId="4" w16cid:durableId="1398943406">
    <w:abstractNumId w:val="33"/>
  </w:num>
  <w:num w:numId="5" w16cid:durableId="657154609">
    <w:abstractNumId w:val="22"/>
  </w:num>
  <w:num w:numId="6" w16cid:durableId="1689288316">
    <w:abstractNumId w:val="9"/>
  </w:num>
  <w:num w:numId="7" w16cid:durableId="302588536">
    <w:abstractNumId w:val="39"/>
  </w:num>
  <w:num w:numId="8" w16cid:durableId="1925916454">
    <w:abstractNumId w:val="36"/>
  </w:num>
  <w:num w:numId="9" w16cid:durableId="177737965">
    <w:abstractNumId w:val="38"/>
  </w:num>
  <w:num w:numId="10" w16cid:durableId="1736121979">
    <w:abstractNumId w:val="43"/>
  </w:num>
  <w:num w:numId="11" w16cid:durableId="975454188">
    <w:abstractNumId w:val="40"/>
  </w:num>
  <w:num w:numId="12" w16cid:durableId="590816530">
    <w:abstractNumId w:val="31"/>
  </w:num>
  <w:num w:numId="13" w16cid:durableId="1406994812">
    <w:abstractNumId w:val="27"/>
  </w:num>
  <w:num w:numId="14" w16cid:durableId="98647287">
    <w:abstractNumId w:val="34"/>
  </w:num>
  <w:num w:numId="15" w16cid:durableId="473372909">
    <w:abstractNumId w:val="24"/>
  </w:num>
  <w:num w:numId="16" w16cid:durableId="14577748">
    <w:abstractNumId w:val="26"/>
  </w:num>
  <w:num w:numId="17" w16cid:durableId="177085633">
    <w:abstractNumId w:val="37"/>
  </w:num>
  <w:num w:numId="18" w16cid:durableId="731539322">
    <w:abstractNumId w:val="10"/>
  </w:num>
  <w:num w:numId="19" w16cid:durableId="576018262">
    <w:abstractNumId w:val="12"/>
  </w:num>
  <w:num w:numId="20" w16cid:durableId="854419421">
    <w:abstractNumId w:val="28"/>
  </w:num>
  <w:num w:numId="21" w16cid:durableId="1634484777">
    <w:abstractNumId w:val="23"/>
  </w:num>
  <w:num w:numId="22" w16cid:durableId="1110902242">
    <w:abstractNumId w:val="20"/>
  </w:num>
  <w:num w:numId="23" w16cid:durableId="1113476251">
    <w:abstractNumId w:val="19"/>
  </w:num>
  <w:num w:numId="24" w16cid:durableId="1782452263">
    <w:abstractNumId w:val="14"/>
  </w:num>
  <w:num w:numId="25" w16cid:durableId="62993853">
    <w:abstractNumId w:val="6"/>
  </w:num>
  <w:num w:numId="26" w16cid:durableId="1120339715">
    <w:abstractNumId w:val="45"/>
  </w:num>
  <w:num w:numId="27" w16cid:durableId="1623196568">
    <w:abstractNumId w:val="8"/>
  </w:num>
  <w:num w:numId="28" w16cid:durableId="602688450">
    <w:abstractNumId w:val="1"/>
  </w:num>
  <w:num w:numId="29" w16cid:durableId="1511531087">
    <w:abstractNumId w:val="17"/>
  </w:num>
  <w:num w:numId="30" w16cid:durableId="801576648">
    <w:abstractNumId w:val="4"/>
  </w:num>
  <w:num w:numId="31" w16cid:durableId="817965719">
    <w:abstractNumId w:val="2"/>
  </w:num>
  <w:num w:numId="32" w16cid:durableId="1549225905">
    <w:abstractNumId w:val="41"/>
  </w:num>
  <w:num w:numId="33" w16cid:durableId="2119597901">
    <w:abstractNumId w:val="0"/>
  </w:num>
  <w:num w:numId="34" w16cid:durableId="2127775542">
    <w:abstractNumId w:val="15"/>
  </w:num>
  <w:num w:numId="35" w16cid:durableId="1675641864">
    <w:abstractNumId w:val="44"/>
  </w:num>
  <w:num w:numId="36" w16cid:durableId="258684578">
    <w:abstractNumId w:val="11"/>
  </w:num>
  <w:num w:numId="37" w16cid:durableId="2052877236">
    <w:abstractNumId w:val="42"/>
  </w:num>
  <w:num w:numId="38" w16cid:durableId="500465068">
    <w:abstractNumId w:val="16"/>
  </w:num>
  <w:num w:numId="39" w16cid:durableId="667169705">
    <w:abstractNumId w:val="18"/>
  </w:num>
  <w:num w:numId="40" w16cid:durableId="1415786944">
    <w:abstractNumId w:val="32"/>
  </w:num>
  <w:num w:numId="41" w16cid:durableId="76250082">
    <w:abstractNumId w:val="25"/>
  </w:num>
  <w:num w:numId="42" w16cid:durableId="670723021">
    <w:abstractNumId w:val="29"/>
  </w:num>
  <w:num w:numId="43" w16cid:durableId="268903087">
    <w:abstractNumId w:val="35"/>
  </w:num>
  <w:num w:numId="44" w16cid:durableId="1315374536">
    <w:abstractNumId w:val="3"/>
  </w:num>
  <w:num w:numId="45" w16cid:durableId="2067218215">
    <w:abstractNumId w:val="30"/>
  </w:num>
  <w:num w:numId="46" w16cid:durableId="7652256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92"/>
    <w:rsid w:val="00000E97"/>
    <w:rsid w:val="000139B9"/>
    <w:rsid w:val="00014CF1"/>
    <w:rsid w:val="000157A2"/>
    <w:rsid w:val="0002105A"/>
    <w:rsid w:val="000451DD"/>
    <w:rsid w:val="0004614E"/>
    <w:rsid w:val="00046926"/>
    <w:rsid w:val="0006785E"/>
    <w:rsid w:val="0007375D"/>
    <w:rsid w:val="000754B6"/>
    <w:rsid w:val="00077816"/>
    <w:rsid w:val="00095A5D"/>
    <w:rsid w:val="00096EA2"/>
    <w:rsid w:val="000A2306"/>
    <w:rsid w:val="000B0C7C"/>
    <w:rsid w:val="000B0CB8"/>
    <w:rsid w:val="000B188D"/>
    <w:rsid w:val="000D0AF5"/>
    <w:rsid w:val="000D20FF"/>
    <w:rsid w:val="000D6337"/>
    <w:rsid w:val="000E7C83"/>
    <w:rsid w:val="000F24FD"/>
    <w:rsid w:val="00101874"/>
    <w:rsid w:val="001066EC"/>
    <w:rsid w:val="00110605"/>
    <w:rsid w:val="00111F56"/>
    <w:rsid w:val="001235ED"/>
    <w:rsid w:val="0012468B"/>
    <w:rsid w:val="0013701C"/>
    <w:rsid w:val="00137B3C"/>
    <w:rsid w:val="00153090"/>
    <w:rsid w:val="00165942"/>
    <w:rsid w:val="00165D7F"/>
    <w:rsid w:val="0017140D"/>
    <w:rsid w:val="001877C0"/>
    <w:rsid w:val="001923AF"/>
    <w:rsid w:val="001A0E36"/>
    <w:rsid w:val="001A1291"/>
    <w:rsid w:val="001B16B8"/>
    <w:rsid w:val="001C0769"/>
    <w:rsid w:val="001C725D"/>
    <w:rsid w:val="001D2505"/>
    <w:rsid w:val="001D5348"/>
    <w:rsid w:val="001D7405"/>
    <w:rsid w:val="001D7D99"/>
    <w:rsid w:val="001F186C"/>
    <w:rsid w:val="001F41AD"/>
    <w:rsid w:val="001F4B1B"/>
    <w:rsid w:val="001F528E"/>
    <w:rsid w:val="00200104"/>
    <w:rsid w:val="0020499C"/>
    <w:rsid w:val="00206687"/>
    <w:rsid w:val="00215DC8"/>
    <w:rsid w:val="0021633F"/>
    <w:rsid w:val="0023084E"/>
    <w:rsid w:val="002337E6"/>
    <w:rsid w:val="00240BDB"/>
    <w:rsid w:val="00242144"/>
    <w:rsid w:val="00242D2D"/>
    <w:rsid w:val="00251514"/>
    <w:rsid w:val="0025790A"/>
    <w:rsid w:val="002751C1"/>
    <w:rsid w:val="0028064A"/>
    <w:rsid w:val="0029337E"/>
    <w:rsid w:val="00294253"/>
    <w:rsid w:val="00296E2D"/>
    <w:rsid w:val="002A21D8"/>
    <w:rsid w:val="002A5DA9"/>
    <w:rsid w:val="002B0188"/>
    <w:rsid w:val="002B07D6"/>
    <w:rsid w:val="002B6DB1"/>
    <w:rsid w:val="002C7BC4"/>
    <w:rsid w:val="002E096B"/>
    <w:rsid w:val="002F0055"/>
    <w:rsid w:val="00301AFF"/>
    <w:rsid w:val="0030478A"/>
    <w:rsid w:val="00304D8F"/>
    <w:rsid w:val="00320D36"/>
    <w:rsid w:val="003301E2"/>
    <w:rsid w:val="00330B63"/>
    <w:rsid w:val="00331D85"/>
    <w:rsid w:val="00340654"/>
    <w:rsid w:val="00341F5F"/>
    <w:rsid w:val="003439D4"/>
    <w:rsid w:val="00350359"/>
    <w:rsid w:val="00360138"/>
    <w:rsid w:val="00363EC4"/>
    <w:rsid w:val="00370724"/>
    <w:rsid w:val="003710CC"/>
    <w:rsid w:val="0037319F"/>
    <w:rsid w:val="00374E59"/>
    <w:rsid w:val="003876C1"/>
    <w:rsid w:val="0039447B"/>
    <w:rsid w:val="00394595"/>
    <w:rsid w:val="003A4AD2"/>
    <w:rsid w:val="003B5043"/>
    <w:rsid w:val="003C515A"/>
    <w:rsid w:val="003D4145"/>
    <w:rsid w:val="003E404D"/>
    <w:rsid w:val="003E5DA4"/>
    <w:rsid w:val="00401D31"/>
    <w:rsid w:val="00411D22"/>
    <w:rsid w:val="00415A5D"/>
    <w:rsid w:val="00421FCB"/>
    <w:rsid w:val="00430699"/>
    <w:rsid w:val="00431650"/>
    <w:rsid w:val="004326E6"/>
    <w:rsid w:val="00434193"/>
    <w:rsid w:val="004469CA"/>
    <w:rsid w:val="00462E19"/>
    <w:rsid w:val="004649BC"/>
    <w:rsid w:val="00473096"/>
    <w:rsid w:val="00475D02"/>
    <w:rsid w:val="00477B68"/>
    <w:rsid w:val="004841BC"/>
    <w:rsid w:val="00484CAD"/>
    <w:rsid w:val="00491881"/>
    <w:rsid w:val="00491EC6"/>
    <w:rsid w:val="0049656F"/>
    <w:rsid w:val="004A27B1"/>
    <w:rsid w:val="004A3EE7"/>
    <w:rsid w:val="004E627C"/>
    <w:rsid w:val="005068F0"/>
    <w:rsid w:val="00510FD1"/>
    <w:rsid w:val="00514900"/>
    <w:rsid w:val="0051672E"/>
    <w:rsid w:val="00516D88"/>
    <w:rsid w:val="00525248"/>
    <w:rsid w:val="00526A71"/>
    <w:rsid w:val="00526BC0"/>
    <w:rsid w:val="00545F3C"/>
    <w:rsid w:val="00553978"/>
    <w:rsid w:val="00557B62"/>
    <w:rsid w:val="00563C43"/>
    <w:rsid w:val="00572B08"/>
    <w:rsid w:val="00575766"/>
    <w:rsid w:val="005837FF"/>
    <w:rsid w:val="0058723C"/>
    <w:rsid w:val="00592A8E"/>
    <w:rsid w:val="005A31F0"/>
    <w:rsid w:val="005B2F63"/>
    <w:rsid w:val="005B56E5"/>
    <w:rsid w:val="005D25A6"/>
    <w:rsid w:val="005E223C"/>
    <w:rsid w:val="005E544E"/>
    <w:rsid w:val="00603D0E"/>
    <w:rsid w:val="006136F1"/>
    <w:rsid w:val="00621CF9"/>
    <w:rsid w:val="0062223E"/>
    <w:rsid w:val="00631F42"/>
    <w:rsid w:val="006422AB"/>
    <w:rsid w:val="006505D6"/>
    <w:rsid w:val="0065360B"/>
    <w:rsid w:val="006563EF"/>
    <w:rsid w:val="00665EC8"/>
    <w:rsid w:val="00672275"/>
    <w:rsid w:val="0068164B"/>
    <w:rsid w:val="0068427C"/>
    <w:rsid w:val="006A1655"/>
    <w:rsid w:val="006A26A4"/>
    <w:rsid w:val="006B4D50"/>
    <w:rsid w:val="006B5169"/>
    <w:rsid w:val="006C0FA4"/>
    <w:rsid w:val="006C4F38"/>
    <w:rsid w:val="006C55D3"/>
    <w:rsid w:val="006D01E4"/>
    <w:rsid w:val="006D3DC4"/>
    <w:rsid w:val="006E0483"/>
    <w:rsid w:val="006F475B"/>
    <w:rsid w:val="006F7B7B"/>
    <w:rsid w:val="007150C2"/>
    <w:rsid w:val="007241CC"/>
    <w:rsid w:val="0072474F"/>
    <w:rsid w:val="00740D5E"/>
    <w:rsid w:val="00752AE6"/>
    <w:rsid w:val="00752BAD"/>
    <w:rsid w:val="0075419A"/>
    <w:rsid w:val="00763476"/>
    <w:rsid w:val="00763507"/>
    <w:rsid w:val="00764E41"/>
    <w:rsid w:val="0077130C"/>
    <w:rsid w:val="00777290"/>
    <w:rsid w:val="007A3E02"/>
    <w:rsid w:val="007D6223"/>
    <w:rsid w:val="007E7138"/>
    <w:rsid w:val="007F2034"/>
    <w:rsid w:val="007F3209"/>
    <w:rsid w:val="008023CF"/>
    <w:rsid w:val="00804543"/>
    <w:rsid w:val="0080645C"/>
    <w:rsid w:val="00806702"/>
    <w:rsid w:val="00814CDC"/>
    <w:rsid w:val="00817BEC"/>
    <w:rsid w:val="0082212A"/>
    <w:rsid w:val="0082711C"/>
    <w:rsid w:val="008273A9"/>
    <w:rsid w:val="00851AB8"/>
    <w:rsid w:val="00855EC7"/>
    <w:rsid w:val="008646FF"/>
    <w:rsid w:val="00887233"/>
    <w:rsid w:val="00897C94"/>
    <w:rsid w:val="008A1B40"/>
    <w:rsid w:val="008A42BF"/>
    <w:rsid w:val="008B42D8"/>
    <w:rsid w:val="008C1917"/>
    <w:rsid w:val="008C1F5F"/>
    <w:rsid w:val="008C47CD"/>
    <w:rsid w:val="008C51CD"/>
    <w:rsid w:val="008D0054"/>
    <w:rsid w:val="008D6470"/>
    <w:rsid w:val="008D6B51"/>
    <w:rsid w:val="008E3B97"/>
    <w:rsid w:val="008E5A48"/>
    <w:rsid w:val="008E737F"/>
    <w:rsid w:val="008F2B97"/>
    <w:rsid w:val="009023A1"/>
    <w:rsid w:val="00907A4C"/>
    <w:rsid w:val="00920F2E"/>
    <w:rsid w:val="009230C3"/>
    <w:rsid w:val="00927F05"/>
    <w:rsid w:val="00942C1A"/>
    <w:rsid w:val="00945D0F"/>
    <w:rsid w:val="0094618D"/>
    <w:rsid w:val="0095293E"/>
    <w:rsid w:val="0096639C"/>
    <w:rsid w:val="00976C0A"/>
    <w:rsid w:val="00980307"/>
    <w:rsid w:val="00983350"/>
    <w:rsid w:val="00987C77"/>
    <w:rsid w:val="00990C2C"/>
    <w:rsid w:val="00992D93"/>
    <w:rsid w:val="00994BCC"/>
    <w:rsid w:val="00997B64"/>
    <w:rsid w:val="009A02CB"/>
    <w:rsid w:val="009A1B7F"/>
    <w:rsid w:val="009A78FF"/>
    <w:rsid w:val="009B2CEB"/>
    <w:rsid w:val="009B5FEB"/>
    <w:rsid w:val="009B7449"/>
    <w:rsid w:val="009C4E0D"/>
    <w:rsid w:val="009D7416"/>
    <w:rsid w:val="009E3F88"/>
    <w:rsid w:val="009F78F1"/>
    <w:rsid w:val="00A0526F"/>
    <w:rsid w:val="00A12D82"/>
    <w:rsid w:val="00A23BE6"/>
    <w:rsid w:val="00A24374"/>
    <w:rsid w:val="00A31909"/>
    <w:rsid w:val="00A46C13"/>
    <w:rsid w:val="00A60172"/>
    <w:rsid w:val="00A6084B"/>
    <w:rsid w:val="00A647FC"/>
    <w:rsid w:val="00A66FE7"/>
    <w:rsid w:val="00A70343"/>
    <w:rsid w:val="00A70BBD"/>
    <w:rsid w:val="00A76709"/>
    <w:rsid w:val="00A832E1"/>
    <w:rsid w:val="00A909A9"/>
    <w:rsid w:val="00A926B6"/>
    <w:rsid w:val="00A94813"/>
    <w:rsid w:val="00A95939"/>
    <w:rsid w:val="00AB20B3"/>
    <w:rsid w:val="00AB428F"/>
    <w:rsid w:val="00AB7D97"/>
    <w:rsid w:val="00AC3BD5"/>
    <w:rsid w:val="00AD1B2B"/>
    <w:rsid w:val="00AF0484"/>
    <w:rsid w:val="00AF34AD"/>
    <w:rsid w:val="00AF3757"/>
    <w:rsid w:val="00B03A8B"/>
    <w:rsid w:val="00B0432D"/>
    <w:rsid w:val="00B055DB"/>
    <w:rsid w:val="00B12C2C"/>
    <w:rsid w:val="00B2136C"/>
    <w:rsid w:val="00B2179F"/>
    <w:rsid w:val="00B3546B"/>
    <w:rsid w:val="00B370A0"/>
    <w:rsid w:val="00B41280"/>
    <w:rsid w:val="00B441D5"/>
    <w:rsid w:val="00B51148"/>
    <w:rsid w:val="00B51554"/>
    <w:rsid w:val="00B52057"/>
    <w:rsid w:val="00B810A4"/>
    <w:rsid w:val="00B83570"/>
    <w:rsid w:val="00B90807"/>
    <w:rsid w:val="00BA5D85"/>
    <w:rsid w:val="00BB0BBF"/>
    <w:rsid w:val="00BB2BE2"/>
    <w:rsid w:val="00BB4B9B"/>
    <w:rsid w:val="00BB65BE"/>
    <w:rsid w:val="00BD2532"/>
    <w:rsid w:val="00BE1B16"/>
    <w:rsid w:val="00BF077F"/>
    <w:rsid w:val="00BF0D56"/>
    <w:rsid w:val="00BF2FD3"/>
    <w:rsid w:val="00BF51F7"/>
    <w:rsid w:val="00C037E6"/>
    <w:rsid w:val="00C0524A"/>
    <w:rsid w:val="00C05A28"/>
    <w:rsid w:val="00C07ED7"/>
    <w:rsid w:val="00C1386F"/>
    <w:rsid w:val="00C13FCC"/>
    <w:rsid w:val="00C14C99"/>
    <w:rsid w:val="00C16DA6"/>
    <w:rsid w:val="00C2100A"/>
    <w:rsid w:val="00C23267"/>
    <w:rsid w:val="00C30856"/>
    <w:rsid w:val="00C3424A"/>
    <w:rsid w:val="00C37703"/>
    <w:rsid w:val="00C60964"/>
    <w:rsid w:val="00C64AD0"/>
    <w:rsid w:val="00C9127A"/>
    <w:rsid w:val="00C95B19"/>
    <w:rsid w:val="00C97ECC"/>
    <w:rsid w:val="00CA0329"/>
    <w:rsid w:val="00CA0E31"/>
    <w:rsid w:val="00CA24B4"/>
    <w:rsid w:val="00CA330F"/>
    <w:rsid w:val="00CA78B4"/>
    <w:rsid w:val="00CB1E05"/>
    <w:rsid w:val="00CB73CF"/>
    <w:rsid w:val="00CC0F36"/>
    <w:rsid w:val="00CC4A0F"/>
    <w:rsid w:val="00CC5071"/>
    <w:rsid w:val="00CD540B"/>
    <w:rsid w:val="00CE6E2D"/>
    <w:rsid w:val="00CF5EC7"/>
    <w:rsid w:val="00D02584"/>
    <w:rsid w:val="00D05E90"/>
    <w:rsid w:val="00D11466"/>
    <w:rsid w:val="00D15059"/>
    <w:rsid w:val="00D438F4"/>
    <w:rsid w:val="00D5334B"/>
    <w:rsid w:val="00D64F32"/>
    <w:rsid w:val="00D66C9A"/>
    <w:rsid w:val="00D75FFC"/>
    <w:rsid w:val="00D76025"/>
    <w:rsid w:val="00D80BFF"/>
    <w:rsid w:val="00D85642"/>
    <w:rsid w:val="00D8685C"/>
    <w:rsid w:val="00DA3E18"/>
    <w:rsid w:val="00DB2465"/>
    <w:rsid w:val="00DB768A"/>
    <w:rsid w:val="00DC3375"/>
    <w:rsid w:val="00DC5BEB"/>
    <w:rsid w:val="00DC7468"/>
    <w:rsid w:val="00DC7B95"/>
    <w:rsid w:val="00DD3052"/>
    <w:rsid w:val="00DD4415"/>
    <w:rsid w:val="00DD52F3"/>
    <w:rsid w:val="00DD700A"/>
    <w:rsid w:val="00DE45A9"/>
    <w:rsid w:val="00DE74BE"/>
    <w:rsid w:val="00DF56FA"/>
    <w:rsid w:val="00DF7072"/>
    <w:rsid w:val="00DF74FD"/>
    <w:rsid w:val="00E00F92"/>
    <w:rsid w:val="00E249CD"/>
    <w:rsid w:val="00E26575"/>
    <w:rsid w:val="00E3199A"/>
    <w:rsid w:val="00E327BA"/>
    <w:rsid w:val="00E6280C"/>
    <w:rsid w:val="00E668B0"/>
    <w:rsid w:val="00E717A7"/>
    <w:rsid w:val="00E72A4F"/>
    <w:rsid w:val="00E7500F"/>
    <w:rsid w:val="00E96160"/>
    <w:rsid w:val="00EC2D78"/>
    <w:rsid w:val="00ED4D9A"/>
    <w:rsid w:val="00ED7964"/>
    <w:rsid w:val="00F02D8E"/>
    <w:rsid w:val="00F032BF"/>
    <w:rsid w:val="00F07EA9"/>
    <w:rsid w:val="00F13913"/>
    <w:rsid w:val="00F43D71"/>
    <w:rsid w:val="00F45128"/>
    <w:rsid w:val="00F464BF"/>
    <w:rsid w:val="00F46DDD"/>
    <w:rsid w:val="00F52E01"/>
    <w:rsid w:val="00F60229"/>
    <w:rsid w:val="00F867A9"/>
    <w:rsid w:val="00F91B30"/>
    <w:rsid w:val="00F9240F"/>
    <w:rsid w:val="00F94CD7"/>
    <w:rsid w:val="00F9598A"/>
    <w:rsid w:val="00FA6A89"/>
    <w:rsid w:val="00FA6FDD"/>
    <w:rsid w:val="00FB14FC"/>
    <w:rsid w:val="00FC079D"/>
    <w:rsid w:val="00FC0E1A"/>
    <w:rsid w:val="00FC2DE5"/>
    <w:rsid w:val="00FC687A"/>
    <w:rsid w:val="00FD0130"/>
    <w:rsid w:val="00FD3BD6"/>
    <w:rsid w:val="00FE2A8E"/>
    <w:rsid w:val="00FE5C2A"/>
    <w:rsid w:val="00FE7274"/>
    <w:rsid w:val="00FF0A4A"/>
    <w:rsid w:val="00FF2BAE"/>
    <w:rsid w:val="00FF59E2"/>
    <w:rsid w:val="00FF6477"/>
    <w:rsid w:val="00FF77D6"/>
    <w:rsid w:val="03A27262"/>
    <w:rsid w:val="2AD17A58"/>
    <w:rsid w:val="46057006"/>
    <w:rsid w:val="76F5E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B2033"/>
  <w15:chartTrackingRefBased/>
  <w15:docId w15:val="{A372BFEA-6D00-4CC7-9CBE-3755324F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F92"/>
  </w:style>
  <w:style w:type="paragraph" w:styleId="Footer">
    <w:name w:val="footer"/>
    <w:basedOn w:val="Normal"/>
    <w:link w:val="FooterChar"/>
    <w:uiPriority w:val="99"/>
    <w:unhideWhenUsed/>
    <w:rsid w:val="00E00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92"/>
  </w:style>
  <w:style w:type="paragraph" w:styleId="ListParagraph">
    <w:name w:val="List Paragraph"/>
    <w:basedOn w:val="Normal"/>
    <w:uiPriority w:val="34"/>
    <w:qFormat/>
    <w:rsid w:val="00684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627C"/>
    <w:rPr>
      <w:color w:val="0563C1" w:themeColor="hyperlink"/>
      <w:u w:val="single"/>
    </w:rPr>
  </w:style>
  <w:style w:type="paragraph" w:customStyle="1" w:styleId="Default">
    <w:name w:val="Default"/>
    <w:rsid w:val="00C64A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b65bf0e-7081-4583-b2f5-8a330c0c8789" xsi:nil="true"/>
    <lcf76f155ced4ddcb4097134ff3c332f xmlns="93da8161-ddec-478b-86a1-c05e0c16f3e7">
      <Terms xmlns="http://schemas.microsoft.com/office/infopath/2007/PartnerControls"/>
    </lcf76f155ced4ddcb4097134ff3c332f>
    <_ip_UnifiedCompliancePolicyProperties xmlns="http://schemas.microsoft.com/sharepoint/v3" xsi:nil="true"/>
    <SharedWithUsers xmlns="5b65bf0e-7081-4583-b2f5-8a330c0c8789">
      <UserInfo>
        <DisplayName/>
        <AccountId xsi:nil="true"/>
        <AccountType/>
      </UserInfo>
    </SharedWithUsers>
    <_dlc_DocId xmlns="5b65bf0e-7081-4583-b2f5-8a330c0c8789">7DX77YRMCCNA-841004754-63963</_dlc_DocId>
    <_dlc_DocIdUrl xmlns="5b65bf0e-7081-4583-b2f5-8a330c0c8789">
      <Url>https://dundeecitygovuk.sharepoint.com/sites/SP-CorporateFinance/_layouts/15/DocIdRedir.aspx?ID=7DX77YRMCCNA-841004754-63963</Url>
      <Description>7DX77YRMCCNA-841004754-63963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96AEE0C4BB34692BC407FB68CD074" ma:contentTypeVersion="16" ma:contentTypeDescription="Create a new document." ma:contentTypeScope="" ma:versionID="092dbd6a127ff70f8a3f3dee431453ec">
  <xsd:schema xmlns:xsd="http://www.w3.org/2001/XMLSchema" xmlns:xs="http://www.w3.org/2001/XMLSchema" xmlns:p="http://schemas.microsoft.com/office/2006/metadata/properties" xmlns:ns1="http://schemas.microsoft.com/sharepoint/v3" xmlns:ns2="5b65bf0e-7081-4583-b2f5-8a330c0c8789" xmlns:ns3="93da8161-ddec-478b-86a1-c05e0c16f3e7" targetNamespace="http://schemas.microsoft.com/office/2006/metadata/properties" ma:root="true" ma:fieldsID="a6737f276dd61d11fdd58d167ba38647" ns1:_="" ns2:_="" ns3:_="">
    <xsd:import namespace="http://schemas.microsoft.com/sharepoint/v3"/>
    <xsd:import namespace="5b65bf0e-7081-4583-b2f5-8a330c0c8789"/>
    <xsd:import namespace="93da8161-ddec-478b-86a1-c05e0c16f3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5bf0e-7081-4583-b2f5-8a330c0c87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fad90-6dc3-49fc-bfc6-9b048e3e06e5}" ma:internalName="TaxCatchAll" ma:showField="CatchAllData" ma:web="5b65bf0e-7081-4583-b2f5-8a330c0c8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a8161-ddec-478b-86a1-c05e0c16f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5CE7B-CB3E-42D1-B843-313908EE83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F7204B-8A5A-4B0F-A4D4-4785D55C5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55334-9017-486D-BED7-F9E75BEA50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65bf0e-7081-4583-b2f5-8a330c0c8789"/>
    <ds:schemaRef ds:uri="93da8161-ddec-478b-86a1-c05e0c16f3e7"/>
  </ds:schemaRefs>
</ds:datastoreItem>
</file>

<file path=customXml/itemProps4.xml><?xml version="1.0" encoding="utf-8"?>
<ds:datastoreItem xmlns:ds="http://schemas.openxmlformats.org/officeDocument/2006/customXml" ds:itemID="{738DD78E-7F3F-4AD3-84B8-6082614C8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65bf0e-7081-4583-b2f5-8a330c0c8789"/>
    <ds:schemaRef ds:uri="93da8161-ddec-478b-86a1-c05e0c16f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Russell</dc:creator>
  <cp:keywords/>
  <dc:description/>
  <cp:lastModifiedBy>Tracey Russell</cp:lastModifiedBy>
  <cp:revision>8</cp:revision>
  <cp:lastPrinted>2018-05-21T09:16:00Z</cp:lastPrinted>
  <dcterms:created xsi:type="dcterms:W3CDTF">2025-08-20T10:15:00Z</dcterms:created>
  <dcterms:modified xsi:type="dcterms:W3CDTF">2025-09-15T11:58:00Z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0x010100FC096AEE0C4BB34692BC407FB68CD074</vt:lpwstr>
  </property>
  <property fmtid="{D5CDD505-2E9C-101B-9397-08002B2CF9AE}" pid="3" name="Order">
    <vt:r8>327900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_dlc_DocIdItemGuid">
    <vt:lpwstr>4d9179a6-7f07-4a68-9449-a2805c76b110</vt:lpwstr>
  </property>
</Properties>
</file>